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DDA87">
      <w:pPr>
        <w:ind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等离子电切镜</w:t>
      </w:r>
      <w:r>
        <w:rPr>
          <w:rFonts w:hint="eastAsia" w:ascii="宋体" w:hAnsi="宋体" w:eastAsia="宋体" w:cs="宋体"/>
          <w:b/>
          <w:bCs/>
          <w:sz w:val="32"/>
          <w:szCs w:val="28"/>
          <w:lang w:eastAsia="zh-CN"/>
        </w:rPr>
        <w:t>招标</w:t>
      </w:r>
      <w:r>
        <w:rPr>
          <w:rFonts w:hint="eastAsia" w:ascii="宋体" w:hAnsi="宋体" w:eastAsia="宋体" w:cs="宋体"/>
          <w:b/>
          <w:bCs/>
          <w:sz w:val="32"/>
          <w:szCs w:val="28"/>
        </w:rPr>
        <w:t>参数</w:t>
      </w:r>
    </w:p>
    <w:p w14:paraId="176887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一、设备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名称：</w:t>
      </w:r>
    </w:p>
    <w:p w14:paraId="13568FD6">
      <w:pPr>
        <w:bidi w:val="0"/>
        <w:spacing w:line="240" w:lineRule="auto"/>
        <w:ind w:left="0" w:leftChars="0" w:firstLine="0" w:firstLineChars="0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 w:eastAsia="zh-CN"/>
        </w:rPr>
        <w:t>1.</w:t>
      </w:r>
      <w:r>
        <w:rPr>
          <w:rFonts w:hint="eastAsia" w:ascii="宋体" w:hAnsi="宋体" w:eastAsia="宋体" w:cs="宋体"/>
          <w:lang w:eastAsia="zh-CN"/>
        </w:rPr>
        <w:t>等离子电切镜</w:t>
      </w:r>
    </w:p>
    <w:p w14:paraId="71A75A97">
      <w:pPr>
        <w:bidi w:val="0"/>
        <w:spacing w:line="240" w:lineRule="auto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2.数量：一套</w:t>
      </w:r>
    </w:p>
    <w:p w14:paraId="7D462CFF">
      <w:pPr>
        <w:bidi w:val="0"/>
        <w:spacing w:line="240" w:lineRule="auto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3.用途：用于前列腺增生、膀胱内肿瘤及病变组织的切除。</w:t>
      </w:r>
    </w:p>
    <w:p w14:paraId="6F2BF112">
      <w:pPr>
        <w:bidi w:val="0"/>
        <w:spacing w:line="240" w:lineRule="auto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4.配置要求：能量主机1台、脚踏开关1个、内窥镜3支、操作器3把、内鞘3支、外鞘3支、闭孔器3支、可视内鞘1支，内鞘接头3个，冲洗接头3个。</w:t>
      </w:r>
    </w:p>
    <w:p w14:paraId="7B816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二、具体参数要求：</w:t>
      </w:r>
    </w:p>
    <w:p w14:paraId="68B13637">
      <w:pPr>
        <w:numPr>
          <w:ilvl w:val="1"/>
          <w:numId w:val="0"/>
        </w:numPr>
        <w:spacing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1、主机全触摸彩色液晶控制屏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6寸。</w:t>
      </w:r>
    </w:p>
    <w:p w14:paraId="5309BF1E">
      <w:pPr>
        <w:numPr>
          <w:ilvl w:val="1"/>
          <w:numId w:val="0"/>
        </w:numPr>
        <w:spacing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2、主机支持双极切割和凝血，工作模式≥2种。</w:t>
      </w:r>
    </w:p>
    <w:p w14:paraId="F84052E1">
      <w:pPr>
        <w:numPr>
          <w:ilvl w:val="1"/>
          <w:numId w:val="0"/>
        </w:numPr>
        <w:spacing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="宋体" w:hAnsi="宋体" w:eastAsia="宋体" w:cs="宋体"/>
          <w:color w:val="auto"/>
          <w:sz w:val="24"/>
          <w:szCs w:val="28"/>
          <w:lang w:eastAsia="zh-CN"/>
        </w:rPr>
        <w:t>▲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主机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工作频率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300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K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H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z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。</w:t>
      </w:r>
    </w:p>
    <w:p w14:paraId="1A111D07">
      <w:pPr>
        <w:numPr>
          <w:ilvl w:val="1"/>
          <w:numId w:val="0"/>
        </w:numPr>
        <w:spacing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切割模式下：最大输出功率≥200W，凝血模式下：最大输出功率≥120W。</w:t>
      </w:r>
      <w:bookmarkStart w:id="0" w:name="_GoBack"/>
      <w:bookmarkEnd w:id="0"/>
    </w:p>
    <w:p w14:paraId="1CECD3F4">
      <w:pPr>
        <w:numPr>
          <w:ilvl w:val="1"/>
          <w:numId w:val="0"/>
        </w:numPr>
        <w:spacing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="宋体" w:hAnsi="宋体" w:eastAsia="宋体" w:cs="宋体"/>
          <w:color w:val="auto"/>
          <w:sz w:val="24"/>
          <w:szCs w:val="28"/>
          <w:lang w:eastAsia="zh-CN"/>
        </w:rPr>
        <w:t>▲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输出模式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等离子电切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4种，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电凝模式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3种。</w:t>
      </w:r>
    </w:p>
    <w:p w14:paraId="121144DA">
      <w:pPr>
        <w:numPr>
          <w:ilvl w:val="1"/>
          <w:numId w:val="0"/>
        </w:numPr>
        <w:spacing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6、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控制屏显示包括但不限于:主机工作时间、电极安装状态、切凝的模式、功率、工作声音大小调节等。</w:t>
      </w:r>
    </w:p>
    <w:p w14:paraId="2DE4B0E1">
      <w:pPr>
        <w:numPr>
          <w:ilvl w:val="1"/>
          <w:numId w:val="0"/>
        </w:numPr>
        <w:spacing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7、支持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切、凝双踏板开关。</w:t>
      </w:r>
    </w:p>
    <w:p w14:paraId="2B8E2D65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8、内窥镜直径4毫米2根，直径2.9毫米1根，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视向角12°或25°或30°，视场角：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60°。</w:t>
      </w:r>
    </w:p>
    <w:p w14:paraId="73894E68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9、光学工作距：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20mm，有效景深范围：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3-50mm。</w:t>
      </w:r>
    </w:p>
    <w:p w14:paraId="1F34EC90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10、操作器：被动式。</w:t>
      </w:r>
    </w:p>
    <w:p w14:paraId="6D36BD6A">
      <w:pPr>
        <w:numPr>
          <w:ilvl w:val="0"/>
          <w:numId w:val="0"/>
        </w:numPr>
        <w:spacing w:line="240" w:lineRule="auto"/>
        <w:ind w:leftChars="0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11、内鞘直</w:t>
      </w:r>
      <w:r>
        <w:rPr>
          <w:rFonts w:hint="eastAsia" w:ascii="宋体" w:hAnsi="宋体" w:eastAsia="宋体" w:cs="宋体"/>
          <w:sz w:val="24"/>
          <w:szCs w:val="24"/>
        </w:rPr>
        <w:t>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sz w:val="24"/>
          <w:szCs w:val="24"/>
        </w:rPr>
        <w:t>Fr、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22Fr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20.5Fr，</w:t>
      </w:r>
      <w:r>
        <w:rPr>
          <w:rFonts w:hint="eastAsia" w:ascii="宋体" w:hAnsi="宋体" w:eastAsia="宋体" w:cs="宋体"/>
          <w:sz w:val="24"/>
          <w:szCs w:val="24"/>
        </w:rPr>
        <w:t>可360°旋转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DF6C6205">
      <w:pPr>
        <w:numPr>
          <w:ilvl w:val="0"/>
          <w:numId w:val="0"/>
        </w:numPr>
        <w:spacing w:line="240" w:lineRule="auto"/>
        <w:ind w:leftChars="0"/>
        <w:jc w:val="left"/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12、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外鞘直</w:t>
      </w:r>
      <w:r>
        <w:rPr>
          <w:rFonts w:hint="eastAsia" w:ascii="宋体" w:hAnsi="宋体" w:eastAsia="宋体" w:cs="宋体"/>
          <w:sz w:val="24"/>
          <w:szCs w:val="24"/>
        </w:rPr>
        <w:t>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</w:t>
      </w:r>
      <w:r>
        <w:rPr>
          <w:rFonts w:hint="eastAsia" w:ascii="宋体" w:hAnsi="宋体" w:eastAsia="宋体" w:cs="宋体"/>
          <w:sz w:val="24"/>
          <w:szCs w:val="24"/>
        </w:rPr>
        <w:t>Fr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24Fr、22Fr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带</w:t>
      </w:r>
      <w:r>
        <w:rPr>
          <w:rFonts w:hint="eastAsia" w:ascii="宋体" w:hAnsi="宋体" w:eastAsia="宋体" w:cs="宋体"/>
          <w:sz w:val="24"/>
          <w:szCs w:val="24"/>
        </w:rPr>
        <w:t>进出水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开关。</w:t>
      </w:r>
    </w:p>
    <w:p w14:paraId="25B6DDBA">
      <w:pPr>
        <w:numPr>
          <w:ilvl w:val="0"/>
          <w:numId w:val="0"/>
        </w:numPr>
        <w:spacing w:line="240" w:lineRule="auto"/>
        <w:ind w:leftChars="0"/>
        <w:jc w:val="left"/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13、闭孔器具有活动闭头。</w:t>
      </w:r>
    </w:p>
    <w:p w14:paraId="046E319F">
      <w:pPr>
        <w:numPr>
          <w:ilvl w:val="0"/>
          <w:numId w:val="0"/>
        </w:numPr>
        <w:spacing w:line="240" w:lineRule="auto"/>
        <w:ind w:leftChars="0"/>
        <w:jc w:val="left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14、</w:t>
      </w:r>
      <w:r>
        <w:rPr>
          <w:rFonts w:hint="eastAsia" w:ascii="宋体" w:hAnsi="宋体" w:eastAsia="宋体" w:cs="宋体"/>
          <w:b w:val="0"/>
          <w:bCs w:val="0"/>
          <w:color w:val="auto"/>
          <w:vertAlign w:val="baseline"/>
          <w:lang w:val="en-US" w:eastAsia="zh-CN"/>
        </w:rPr>
        <w:t>电切镜电极</w:t>
      </w:r>
      <w:r>
        <w:rPr>
          <w:rFonts w:hint="eastAsia" w:ascii="宋体" w:hAnsi="宋体" w:eastAsia="宋体" w:cs="宋体"/>
          <w:color w:val="auto"/>
          <w:vertAlign w:val="baseline"/>
          <w:lang w:val="en-US" w:eastAsia="zh-CN"/>
        </w:rPr>
        <w:t>符合医疗器械管理分类为III类的医疗产品注册证。</w:t>
      </w:r>
    </w:p>
    <w:p w14:paraId="17C6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三、其他</w:t>
      </w:r>
    </w:p>
    <w:p w14:paraId="3B4F1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0" w:firstLine="0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1.原厂主机质保≥5年，镜子质保≥1年。</w:t>
      </w:r>
    </w:p>
    <w:p w14:paraId="0AF6E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0" w:firstLine="0" w:firstLineChars="0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2.付款方式：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设备安装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Hans"/>
        </w:rPr>
        <w:t>完毕经甲方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验收合格后付全款的90%，余10%尾款验收合格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后无质量及其他问题付清。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16323"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0BCF0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5E361"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74A02">
    <w:pPr>
      <w:pStyle w:val="13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46841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CAD4F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40C"/>
    <w:rsid w:val="00654285"/>
    <w:rsid w:val="0093777D"/>
    <w:rsid w:val="00A4140C"/>
    <w:rsid w:val="00DB757F"/>
    <w:rsid w:val="056D430E"/>
    <w:rsid w:val="122327D1"/>
    <w:rsid w:val="1E0706A2"/>
    <w:rsid w:val="241B14E1"/>
    <w:rsid w:val="490F348A"/>
    <w:rsid w:val="4A0008D3"/>
    <w:rsid w:val="52A631B4"/>
    <w:rsid w:val="5DF95885"/>
    <w:rsid w:val="61F709E9"/>
    <w:rsid w:val="63A47F08"/>
    <w:rsid w:val="6BDD0871"/>
    <w:rsid w:val="6C6B0225"/>
    <w:rsid w:val="7EA1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ind w:firstLine="200" w:firstLineChars="200"/>
      <w:jc w:val="both"/>
    </w:pPr>
    <w:rPr>
      <w:rFonts w:ascii="Times New Roman" w:hAnsi="Times New Roman" w:eastAsia="仿宋" w:cstheme="minorBidi"/>
      <w:kern w:val="2"/>
      <w:sz w:val="24"/>
      <w:szCs w:val="22"/>
      <w:lang w:val="en-US" w:eastAsia="zh-CN" w:bidi="ar-SA"/>
      <w14:ligatures w14:val="none"/>
    </w:rPr>
  </w:style>
  <w:style w:type="paragraph" w:styleId="3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ind w:firstLine="0" w:firstLineChars="0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ind w:firstLine="0" w:firstLineChars="0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ind w:firstLine="0" w:firstLineChars="0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ind w:firstLine="0" w:firstLineChars="0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ind w:firstLine="0" w:firstLineChars="0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Cs w:val="24"/>
      <w14:ligatures w14:val="standardContextual"/>
    </w:rPr>
  </w:style>
  <w:style w:type="paragraph" w:styleId="8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ind w:firstLine="0" w:firstLineChars="0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ind w:firstLine="0" w:firstLineChars="0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ind w:firstLine="0" w:firstLineChars="0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ind w:firstLine="0" w:firstLineChars="0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4"/>
    <w:basedOn w:val="1"/>
    <w:next w:val="1"/>
    <w:qFormat/>
    <w:uiPriority w:val="0"/>
    <w:pPr>
      <w:keepNext/>
      <w:keepLines/>
      <w:spacing w:before="280" w:after="290" w:line="376" w:lineRule="auto"/>
      <w:textAlignment w:val="baseline"/>
    </w:pPr>
    <w:rPr>
      <w:rFonts w:ascii="Arial" w:hAnsi="Arial" w:eastAsia="黑体" w:cs="Times New Roman"/>
      <w:b/>
      <w:bCs/>
      <w:sz w:val="28"/>
      <w:szCs w:val="28"/>
    </w:rPr>
  </w:style>
  <w:style w:type="paragraph" w:styleId="12">
    <w:name w:val="footer"/>
    <w:basedOn w:val="1"/>
    <w:link w:val="3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ind w:firstLine="0" w:firstLineChars="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8">
    <w:name w:val="标题 1 字符"/>
    <w:basedOn w:val="17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ind w:firstLine="0" w:firstLineChars="0"/>
      <w:jc w:val="center"/>
    </w:pPr>
    <w:rPr>
      <w:rFonts w:asciiTheme="minorHAnsi" w:hAnsiTheme="minorHAnsi" w:eastAsiaTheme="minorEastAsia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 w:firstLine="0" w:firstLineChars="0"/>
      <w:contextualSpacing/>
      <w:jc w:val="left"/>
    </w:pPr>
    <w:rPr>
      <w:rFonts w:asciiTheme="minorHAnsi" w:hAnsiTheme="minorHAnsi" w:eastAsiaTheme="minorEastAsia"/>
      <w:sz w:val="22"/>
      <w:szCs w:val="24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 w:firstLine="0" w:firstLineChars="0"/>
      <w:jc w:val="center"/>
    </w:pPr>
    <w:rPr>
      <w:rFonts w:asciiTheme="minorHAnsi" w:hAnsiTheme="minorHAnsi" w:eastAsiaTheme="minorEastAsia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semiHidden/>
    <w:qFormat/>
    <w:uiPriority w:val="99"/>
    <w:rPr>
      <w:rFonts w:ascii="Times New Roman" w:hAnsi="Times New Roman" w:eastAsia="仿宋"/>
      <w:sz w:val="18"/>
      <w:szCs w:val="18"/>
      <w14:ligatures w14:val="none"/>
    </w:rPr>
  </w:style>
  <w:style w:type="character" w:customStyle="1" w:styleId="37">
    <w:name w:val="页脚 字符"/>
    <w:basedOn w:val="17"/>
    <w:link w:val="12"/>
    <w:semiHidden/>
    <w:qFormat/>
    <w:uiPriority w:val="99"/>
    <w:rPr>
      <w:rFonts w:ascii="Times New Roman" w:hAnsi="Times New Roman" w:eastAsia="仿宋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525</Words>
  <Characters>590</Characters>
  <Lines>5</Lines>
  <Paragraphs>1</Paragraphs>
  <TotalTime>1</TotalTime>
  <ScaleCrop>false</ScaleCrop>
  <LinksUpToDate>false</LinksUpToDate>
  <CharactersWithSpaces>590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2026-07-01T05:00:00Z</dcterms:created>
  <dc:creator>卢庆米</dc:creator>
  <cp:lastModifiedBy>楚江千里碧水晗</cp:lastModifiedBy>
  <dcterms:modified xsi:type="dcterms:W3CDTF">2026-09-14T01:20:18Z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eyJoZGlkIjoiZDFhYTA5MTQ2Yjg0NTZiZTlmYzg0ZDEyMzYxZjU4YmUiLCJ1c2VySWQiOiIyMTY4NTEyNSJ9</vt:lpwstr>
  </property>
  <property fmtid="{D5CDD505-2E9C-101B-9397-08002B2CF9AE}" pid="3" name="KSOProductBuildVer">
    <vt:lpwstr>2052-12.1.0.28505</vt:lpwstr>
  </property>
  <property fmtid="{D5CDD505-2E9C-101B-9397-08002B2CF9AE}" pid="4" name="ICV">
    <vt:lpwstr>4E593978468B43DA92CAFE9B3E11CE3D_13</vt:lpwstr>
  </property>
</Properties>
</file>