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2"/>
        <w:numPr>
          <w:ilvl w:val="0"/>
          <w:numId w:val="0"/>
        </w:numPr>
        <w:ind w:left="420" w:leftChars="0"/>
        <w:jc w:val="center"/>
      </w:pPr>
      <w:r>
        <w:rPr>
          <w:rFonts w:hint="eastAsia"/>
          <w:b/>
          <w:bCs/>
          <w:color w:val="auto"/>
          <w:sz w:val="32"/>
          <w:szCs w:val="32"/>
          <w:lang w:val="en-US" w:eastAsia="zh-CN"/>
        </w:rPr>
        <w:t>智慧科研管理系统</w:t>
      </w:r>
      <w:r>
        <w:t>项目调研</w:t>
      </w:r>
    </w:p>
    <w:p w14:paraId="4A96B219">
      <w:pPr>
        <w:ind w:left="0" w:leftChars="0" w:firstLine="0" w:firstLineChars="0"/>
      </w:pPr>
      <w:r>
        <w:t>根据医院工作需要，现对</w:t>
      </w:r>
      <w:r>
        <w:rPr>
          <w:rFonts w:hint="eastAsia"/>
          <w:lang w:val="en-US" w:eastAsia="zh-CN"/>
        </w:rPr>
        <w:t>本院智慧科研管理系统</w:t>
      </w:r>
      <w:r>
        <w:t>项目进行采购前采购需求调查并征集供应商报价，欢迎合格供应商前来响应，具体事宜公告如下：</w:t>
      </w:r>
    </w:p>
    <w:p w14:paraId="2672E04D">
      <w:pPr>
        <w:ind w:left="0" w:leftChars="0" w:firstLine="0" w:firstLineChars="0"/>
        <w:rPr>
          <w:rFonts w:hint="eastAsia"/>
        </w:rPr>
      </w:pPr>
    </w:p>
    <w:p w14:paraId="447FE381">
      <w:pPr>
        <w:pStyle w:val="3"/>
        <w:ind w:left="0" w:leftChars="0" w:firstLine="0" w:firstLineChars="0"/>
      </w:pPr>
      <w:r>
        <w:t>一、采购项目内容</w:t>
      </w:r>
    </w:p>
    <w:tbl>
      <w:tblPr>
        <w:tblStyle w:val="7"/>
        <w:tblW w:w="37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050"/>
        <w:gridCol w:w="1207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产品配置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ind w:left="0" w:leftChars="0" w:firstLine="0" w:firstLineChars="0"/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b/>
              </w:rPr>
              <w:t>数量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ind w:left="0" w:leftChars="0" w:firstLine="0" w:firstLineChars="0"/>
              <w:jc w:val="both"/>
            </w:pPr>
            <w:r>
              <w:t>1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智慧科研管理系统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</w:tc>
      </w:tr>
    </w:tbl>
    <w:p w14:paraId="12FDDBA4">
      <w:pPr>
        <w:ind w:left="0" w:leftChars="0" w:firstLine="0" w:firstLineChars="0"/>
        <w:rPr>
          <w:rFonts w:hint="eastAsia"/>
        </w:rPr>
      </w:pPr>
    </w:p>
    <w:p w14:paraId="11C45BED">
      <w:pPr>
        <w:pStyle w:val="2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/>
          <w:color w:val="auto"/>
          <w:sz w:val="32"/>
          <w:szCs w:val="32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二、</w:t>
      </w:r>
      <w:r>
        <w:rPr>
          <w:rFonts w:hint="eastAsia"/>
          <w:color w:val="auto"/>
          <w:sz w:val="32"/>
          <w:szCs w:val="32"/>
        </w:rPr>
        <w:t>、系统功能需求</w:t>
      </w:r>
    </w:p>
    <w:p w14:paraId="18F84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构建一套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围绕全院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科技活动的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智慧科研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管理平台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。以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科研项目全周期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为核心，建立项目立项前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申报通知、申报流程、项目评审、项目立项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eastAsia="zh-CN"/>
        </w:rPr>
        <w:t>）、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项目执行中（进度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管理、经费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管理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、成果管理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）和项目结题后（数据分析、绩效评估）一整套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流程化的管理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；其他辅助功能而包括科技相关委员会运行、实验室管理、科技成果管理、</w:t>
      </w:r>
      <w:r>
        <w:rPr>
          <w:rFonts w:hint="eastAsia"/>
          <w:color w:val="auto"/>
          <w:sz w:val="24"/>
          <w:szCs w:val="24"/>
          <w:lang w:val="en-US" w:eastAsia="zh-CN"/>
        </w:rPr>
        <w:t>伦理审查和科研诚信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科研团队和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学科建设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，并可以进行个性化特色功能定制。上述系统应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支持与医院人事系统、财务等的互联互通，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实现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数据资源一体化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</w:rPr>
        <w:t>提升医院科研管理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效能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eastAsia="zh-CN"/>
        </w:rPr>
        <w:t>。</w:t>
      </w:r>
    </w:p>
    <w:p w14:paraId="46D04525">
      <w:pPr>
        <w:pStyle w:val="2"/>
        <w:pageBreakBefore w:val="0"/>
        <w:numPr>
          <w:numId w:val="0"/>
        </w:numPr>
        <w:kinsoku/>
        <w:wordWrap/>
        <w:overflowPunct/>
        <w:topLinePunct w:val="0"/>
        <w:bidi w:val="0"/>
        <w:snapToGrid/>
        <w:spacing w:line="360" w:lineRule="auto"/>
        <w:ind w:left="420" w:leftChars="0"/>
        <w:textAlignment w:val="auto"/>
        <w:rPr>
          <w:rFonts w:hint="eastAsia"/>
          <w:b/>
          <w:color w:val="auto"/>
          <w:sz w:val="32"/>
          <w:szCs w:val="32"/>
          <w:lang w:eastAsia="zh-CN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三、</w:t>
      </w:r>
      <w:r>
        <w:rPr>
          <w:rFonts w:hint="eastAsia"/>
          <w:b/>
          <w:color w:val="auto"/>
          <w:sz w:val="32"/>
          <w:szCs w:val="32"/>
        </w:rPr>
        <w:t>功能模块</w:t>
      </w:r>
      <w:r>
        <w:rPr>
          <w:rFonts w:hint="eastAsia"/>
          <w:b/>
          <w:color w:val="auto"/>
          <w:sz w:val="32"/>
          <w:szCs w:val="32"/>
          <w:lang w:eastAsia="zh-CN"/>
        </w:rPr>
        <w:t>要求</w:t>
      </w:r>
    </w:p>
    <w:p w14:paraId="1C1017CF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科研项目管理</w:t>
      </w:r>
    </w:p>
    <w:p w14:paraId="0E49D619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1）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</w:rPr>
        <w:t>个人门户管理：系统首页实现导航管理，待办事项，待办事项的提醒，已办事项追踪、通知、动态、资料下载等。</w:t>
      </w:r>
    </w:p>
    <w:p w14:paraId="54366C36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color w:val="auto"/>
          <w:sz w:val="24"/>
          <w:szCs w:val="24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</w:rPr>
        <w:t>科研项目的全流程管理：系统能实现</w:t>
      </w:r>
      <w:r>
        <w:rPr>
          <w:rFonts w:hint="eastAsia"/>
          <w:color w:val="auto"/>
          <w:sz w:val="24"/>
          <w:szCs w:val="24"/>
          <w:lang w:val="en-US" w:eastAsia="zh-CN"/>
        </w:rPr>
        <w:t>科研</w:t>
      </w:r>
      <w:r>
        <w:rPr>
          <w:rFonts w:hint="eastAsia"/>
          <w:color w:val="auto"/>
          <w:sz w:val="24"/>
          <w:szCs w:val="24"/>
        </w:rPr>
        <w:t>项目</w:t>
      </w:r>
      <w:r>
        <w:rPr>
          <w:rFonts w:hint="eastAsia"/>
          <w:color w:val="auto"/>
          <w:sz w:val="24"/>
          <w:szCs w:val="24"/>
          <w:lang w:val="en-US" w:eastAsia="zh-CN"/>
        </w:rPr>
        <w:t>申报通知发布</w:t>
      </w:r>
      <w:r>
        <w:rPr>
          <w:rFonts w:hint="eastAsia"/>
          <w:color w:val="auto"/>
          <w:sz w:val="24"/>
          <w:szCs w:val="24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</w:rPr>
        <w:t>申报启动</w:t>
      </w:r>
      <w:r>
        <w:rPr>
          <w:rFonts w:hint="eastAsia"/>
          <w:color w:val="auto"/>
          <w:sz w:val="24"/>
          <w:szCs w:val="24"/>
        </w:rPr>
        <w:t>项目评审、专家评审、立项管理、合同管理</w:t>
      </w:r>
      <w:r>
        <w:rPr>
          <w:rFonts w:hint="eastAsia"/>
          <w:color w:val="auto"/>
          <w:sz w:val="24"/>
          <w:szCs w:val="24"/>
          <w:lang w:eastAsia="zh-CN"/>
        </w:rPr>
        <w:t>、</w:t>
      </w:r>
      <w:r>
        <w:rPr>
          <w:rFonts w:hint="eastAsia"/>
          <w:color w:val="auto"/>
          <w:sz w:val="24"/>
          <w:szCs w:val="24"/>
        </w:rPr>
        <w:t>经费管理、过程跟踪、结题验收、成果登记、项目统计等。</w:t>
      </w:r>
    </w:p>
    <w:p w14:paraId="027DFBED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</w:t>
      </w:r>
      <w:r>
        <w:rPr>
          <w:rFonts w:hint="eastAsia"/>
          <w:color w:val="auto"/>
          <w:sz w:val="24"/>
          <w:szCs w:val="24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</w:rPr>
        <w:t>项目评审:评审项目可实现多选，并选择评审方案，</w:t>
      </w:r>
      <w:r>
        <w:rPr>
          <w:rFonts w:hint="eastAsia"/>
          <w:color w:val="auto"/>
          <w:sz w:val="24"/>
          <w:szCs w:val="24"/>
          <w:lang w:val="en-US" w:eastAsia="zh-CN"/>
        </w:rPr>
        <w:t>可实现线上评审或者线下评审结果的录入，授权</w:t>
      </w:r>
      <w:r>
        <w:rPr>
          <w:rFonts w:hint="eastAsia"/>
          <w:color w:val="auto"/>
          <w:sz w:val="24"/>
          <w:szCs w:val="24"/>
        </w:rPr>
        <w:t>专家评审，可查询专家评审进度，推荐、不推荐等的专家人数，对不合格的项目可批量驳回，对修改的项目携带专家评审意见驳回修改，通过的项目能自动发科研伦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理审查</w:t>
      </w:r>
      <w:r>
        <w:rPr>
          <w:rFonts w:hint="eastAsia" w:ascii="Times New Roman" w:hAnsi="Times New Roman" w:cs="Times New Roman"/>
          <w:color w:val="auto"/>
          <w:sz w:val="24"/>
          <w:szCs w:val="24"/>
          <w:lang w:eastAsia="zh-CN"/>
        </w:rPr>
        <w:t>，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对评审结果按照遴选要求，进行专家投票和学术投票，支持PC端和移动端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。</w:t>
      </w:r>
    </w:p>
    <w:p w14:paraId="252C537F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</w:t>
      </w:r>
      <w:r>
        <w:rPr>
          <w:rFonts w:hint="eastAsia"/>
          <w:color w:val="auto"/>
          <w:sz w:val="24"/>
          <w:szCs w:val="24"/>
        </w:rPr>
        <w:t>）合同管理：</w:t>
      </w:r>
      <w:r>
        <w:rPr>
          <w:rFonts w:hint="eastAsia"/>
          <w:color w:val="auto"/>
          <w:sz w:val="24"/>
          <w:szCs w:val="24"/>
          <w:lang w:val="en-US" w:eastAsia="zh-CN"/>
        </w:rPr>
        <w:t>建立科研项目合同库，</w:t>
      </w:r>
      <w:r>
        <w:rPr>
          <w:rFonts w:hint="eastAsia"/>
          <w:color w:val="auto"/>
          <w:sz w:val="24"/>
          <w:szCs w:val="24"/>
        </w:rPr>
        <w:t>实现</w:t>
      </w:r>
      <w:r>
        <w:rPr>
          <w:rFonts w:hint="eastAsia"/>
          <w:color w:val="auto"/>
          <w:sz w:val="24"/>
          <w:szCs w:val="24"/>
          <w:lang w:val="en-US" w:eastAsia="zh-CN"/>
        </w:rPr>
        <w:t>科研</w:t>
      </w:r>
      <w:r>
        <w:rPr>
          <w:rFonts w:hint="eastAsia"/>
          <w:color w:val="auto"/>
          <w:sz w:val="24"/>
          <w:szCs w:val="24"/>
        </w:rPr>
        <w:t>项目申报合同模块新建，读取项目信息，完善合同内容，提交审批，审批通过后，自动按合同设置最终的预算。</w:t>
      </w:r>
    </w:p>
    <w:p w14:paraId="7E95021A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</w:t>
      </w:r>
      <w:r>
        <w:rPr>
          <w:rFonts w:hint="eastAsia"/>
          <w:color w:val="auto"/>
          <w:sz w:val="24"/>
          <w:szCs w:val="24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系统实现过程跟踪管理，可多次跟踪，系统设置跟踪频率（年度考核、中期考核、抽查等），自动发送待检项目的消息提醒，填写进展报告、项目变更申请，项目延期和项目终止申请，提交审核等。</w:t>
      </w:r>
    </w:p>
    <w:p w14:paraId="10A14F7C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6</w:t>
      </w:r>
      <w:r>
        <w:rPr>
          <w:rFonts w:hint="eastAsia"/>
          <w:color w:val="auto"/>
          <w:sz w:val="24"/>
          <w:szCs w:val="24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</w:rPr>
        <w:t>系统实现结题验收的管理，</w:t>
      </w:r>
      <w:r>
        <w:rPr>
          <w:rFonts w:hint="eastAsia"/>
          <w:color w:val="auto"/>
          <w:sz w:val="24"/>
          <w:szCs w:val="24"/>
          <w:lang w:val="en-US" w:eastAsia="zh-CN"/>
        </w:rPr>
        <w:t>结题评审，</w:t>
      </w:r>
      <w:r>
        <w:rPr>
          <w:rFonts w:hint="eastAsia"/>
          <w:color w:val="auto"/>
          <w:sz w:val="24"/>
          <w:szCs w:val="24"/>
        </w:rPr>
        <w:t>终期考核申请，成果自动匹配，考核意见反馈，</w:t>
      </w:r>
      <w:r>
        <w:rPr>
          <w:rFonts w:hint="eastAsia"/>
          <w:color w:val="auto"/>
          <w:sz w:val="24"/>
          <w:szCs w:val="24"/>
          <w:lang w:val="en-US" w:eastAsia="zh-CN"/>
        </w:rPr>
        <w:t>对需要发专家评审的结题项目，可发至学术委员会进行结题评审，根据专家评审意见反馈是否能结题</w:t>
      </w:r>
      <w:r>
        <w:rPr>
          <w:rFonts w:hint="eastAsia"/>
          <w:color w:val="auto"/>
          <w:sz w:val="24"/>
          <w:szCs w:val="24"/>
        </w:rPr>
        <w:t>。</w:t>
      </w:r>
    </w:p>
    <w:p w14:paraId="1185EB6D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6" w:leftChars="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7</w:t>
      </w:r>
      <w:r>
        <w:rPr>
          <w:rFonts w:hint="eastAsia"/>
          <w:color w:val="auto"/>
          <w:sz w:val="24"/>
          <w:szCs w:val="24"/>
        </w:rPr>
        <w:t>）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/>
          <w:color w:val="auto"/>
          <w:sz w:val="24"/>
          <w:szCs w:val="24"/>
        </w:rPr>
        <w:t>系统实现论文、奖项、专利、著作</w:t>
      </w:r>
      <w:r>
        <w:rPr>
          <w:rFonts w:hint="eastAsia"/>
          <w:color w:val="auto"/>
          <w:sz w:val="24"/>
          <w:szCs w:val="24"/>
          <w:lang w:eastAsia="zh-CN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</w:rPr>
        <w:t>软著等</w:t>
      </w:r>
      <w:r>
        <w:rPr>
          <w:rFonts w:hint="eastAsia"/>
          <w:color w:val="auto"/>
          <w:sz w:val="24"/>
          <w:szCs w:val="24"/>
        </w:rPr>
        <w:t>成果的关联登记、审核，多条件查询</w:t>
      </w:r>
      <w:r>
        <w:rPr>
          <w:rFonts w:hint="eastAsia"/>
          <w:color w:val="auto"/>
          <w:sz w:val="24"/>
          <w:szCs w:val="24"/>
          <w:lang w:eastAsia="zh-CN"/>
        </w:rPr>
        <w:t>、</w:t>
      </w:r>
      <w:r>
        <w:rPr>
          <w:rFonts w:hint="eastAsia"/>
          <w:color w:val="auto"/>
          <w:sz w:val="24"/>
          <w:szCs w:val="24"/>
          <w:lang w:val="en-US" w:eastAsia="zh-CN"/>
        </w:rPr>
        <w:t>多条件数据分析等</w:t>
      </w:r>
      <w:r>
        <w:rPr>
          <w:rFonts w:hint="eastAsia"/>
          <w:color w:val="auto"/>
          <w:sz w:val="24"/>
          <w:szCs w:val="24"/>
        </w:rPr>
        <w:t>。</w:t>
      </w:r>
    </w:p>
    <w:p w14:paraId="2A9D96D7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79" w:leftChars="228" w:firstLine="0"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8）项目书查重管理，系统需支持标书文字查重功能，支持进行word、pdf格式文件上传，对上传的word及pdf格式文件可自动提取文档内的文字；</w:t>
      </w:r>
    </w:p>
    <w:p w14:paraId="7ED4C37F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79" w:leftChars="228" w:firstLine="0" w:firstLineChars="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标书查重，可以上传历年标书形成标书库，可以对标书进行分类管理，提供全文检索功能；查重报告导出，对重复片段进行对比分析后导出。</w:t>
      </w:r>
    </w:p>
    <w:p w14:paraId="18534096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79" w:leftChars="228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9）</w:t>
      </w:r>
      <w:r>
        <w:rPr>
          <w:rFonts w:hint="eastAsia"/>
          <w:color w:val="auto"/>
          <w:sz w:val="24"/>
          <w:szCs w:val="24"/>
          <w:lang w:val="en-US" w:eastAsia="zh-CN"/>
        </w:rPr>
        <w:t>科研数据随访管理：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支持科研项目的新建随访问卷，逻辑关系设置、阈值设置、发布二维码填写，病人入组管理、科研随访数据导出。对研究的项目发起专家评审投票，对评审意见进行汇总，查询。</w:t>
      </w:r>
    </w:p>
    <w:p w14:paraId="1894D525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79" w:leftChars="228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10）科研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项目解体后分析：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利用数据分析的方法，找出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与已结题项目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最新最热的研究主题，还可以从不同的角度和方面，分析这些主题的发展变化和未来趋势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提供期刊分布、科研热点统计、关键词趋势演变、词云图、新兴主题词、学者分布解析、研究机构分布解析、地区分布、等要素统计分析功能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。</w:t>
      </w:r>
    </w:p>
    <w:p w14:paraId="52AEF788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2、经费管理</w:t>
      </w:r>
    </w:p>
    <w:p w14:paraId="3E6D2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1）经费入账：系统实现经费配比自动匹配入账、入账审核、到账通知提醒；经费使用申请，经费流程审批，财务号、报销凭证添加查询，申请单可导出；</w:t>
      </w:r>
    </w:p>
    <w:p w14:paraId="2E409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2）预算设置：能够为项目添加预算详细信息，预算内容包括项目总预算以及每年项目预算。</w:t>
      </w:r>
    </w:p>
    <w:p w14:paraId="5B638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3）预算控制：使用经费时根据每年的项目预算表进行判断，超出年度预算则不能使用经费，项目经费使用进度不佳，系统自动提醒管理者和项目负责人。</w:t>
      </w:r>
    </w:p>
    <w:p w14:paraId="48540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4）经费使用：项目负责人通过系统填写项目报销申请，包括经费类型、金额、用途等内容。经费使用申请根据系统内设置好的报销流程逐层审批，实时跟踪费用申请审批状态、经费使用统计，申请单的导出等。</w:t>
      </w:r>
    </w:p>
    <w:p w14:paraId="70414360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3、成果管理</w:t>
      </w:r>
    </w:p>
    <w:p w14:paraId="7E071957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default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</w:t>
      </w: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3.1、论文管理</w:t>
      </w:r>
    </w:p>
    <w:p w14:paraId="2C1B9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1）论文管理：系统实现论文投稿申请，填写论文名称，论文编号，</w:t>
      </w:r>
      <w:r>
        <w:rPr>
          <w:rFonts w:hint="eastAsia"/>
          <w:color w:val="auto"/>
          <w:sz w:val="24"/>
          <w:szCs w:val="24"/>
          <w:lang w:val="en-US" w:eastAsia="zh-CN"/>
        </w:rPr>
        <w:t>发表</w:t>
      </w:r>
      <w:r>
        <w:rPr>
          <w:rFonts w:hint="eastAsia"/>
          <w:color w:val="auto"/>
          <w:sz w:val="24"/>
          <w:szCs w:val="24"/>
        </w:rPr>
        <w:t>时间，发表杂志：名称填写发表杂志名称，可模糊匹配到系统中存在的杂志名称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</w:rPr>
        <w:t>并对中科院预警杂志设置并提醒</w:t>
      </w:r>
      <w:r>
        <w:rPr>
          <w:rFonts w:hint="eastAsia"/>
          <w:color w:val="auto"/>
          <w:sz w:val="24"/>
          <w:szCs w:val="24"/>
        </w:rPr>
        <w:t>。</w:t>
      </w:r>
    </w:p>
    <w:p w14:paraId="23586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 w:firstLine="480" w:firstLineChars="200"/>
        <w:textAlignment w:val="auto"/>
        <w:rPr>
          <w:rFonts w:hint="eastAsia" w:eastAsiaTheme="minorEastAsia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需明确多级审批节点配置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/>
          <w:color w:val="auto"/>
          <w:sz w:val="24"/>
          <w:szCs w:val="24"/>
        </w:rPr>
        <w:t>审批状态实时标记，每个节点都可以驳回，可以选择驳回至其中任一节点，驳回时可附带审核意见、修改批注截屏，支持多次退回修改</w:t>
      </w:r>
      <w:r>
        <w:rPr>
          <w:rFonts w:hint="eastAsia"/>
          <w:color w:val="auto"/>
          <w:sz w:val="24"/>
          <w:szCs w:val="24"/>
          <w:lang w:eastAsia="zh-CN"/>
        </w:rPr>
        <w:t>；</w:t>
      </w:r>
      <w:r>
        <w:rPr>
          <w:rFonts w:hint="eastAsia"/>
          <w:color w:val="auto"/>
          <w:sz w:val="24"/>
          <w:szCs w:val="24"/>
        </w:rPr>
        <w:t>支持申请人退稿重新投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/>
          <w:color w:val="auto"/>
          <w:sz w:val="24"/>
          <w:szCs w:val="24"/>
        </w:rPr>
        <w:t>论文投寄申请最后到科研管理部门&amp;申请人的节点界面</w:t>
      </w:r>
      <w:r>
        <w:rPr>
          <w:rFonts w:hint="eastAsia"/>
          <w:color w:val="auto"/>
          <w:sz w:val="24"/>
          <w:szCs w:val="24"/>
          <w:lang w:eastAsia="zh-CN"/>
        </w:rPr>
        <w:t>。</w:t>
      </w:r>
    </w:p>
    <w:p w14:paraId="0A369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 w:firstLine="480" w:firstLine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除中科院预警期刊外，科技处可以自行新增医院黑名单期刊、违规期刊，作者投稿选择期刊时弹窗强提醒，科技处审核时可拦截高危期刊投稿申请。</w:t>
      </w:r>
    </w:p>
    <w:p w14:paraId="7E849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2）论文认领：支持中英文论文的网推认领，支持作者的中文名和英文名的识别拖拽填写，支持移动端论文认领查询和认领，附件拍照识别上传等。</w:t>
      </w:r>
    </w:p>
    <w:p w14:paraId="77548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）论文投稿全流程管理：实现论文的申报，上传诚信承诺书、原始数据备案，以及期刊的识别和预警提醒，论文申报的初始审批、学术评审以及对接伦理审查系统实现伦理审查和批件上传，生成介绍信、退稿审核、追加登记等。</w:t>
      </w:r>
    </w:p>
    <w:p w14:paraId="2A0D1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4）论文登记：实现论文登记的endNote、RIS、PubMed等题录信息的识别，自动填写，作者的中文名和英文名和作者单位的识别拖拽填写等。</w:t>
      </w:r>
    </w:p>
    <w:p w14:paraId="77C2A57B">
      <w:pPr>
        <w:spacing w:line="360" w:lineRule="auto"/>
        <w:ind w:left="424" w:leftChars="202"/>
        <w:rPr>
          <w:color w:val="auto"/>
          <w:sz w:val="24"/>
        </w:rPr>
      </w:pPr>
      <w:r>
        <w:rPr>
          <w:rFonts w:hint="eastAsia"/>
          <w:color w:val="auto"/>
          <w:sz w:val="24"/>
        </w:rPr>
        <w:t>（1）强制固定上传模板：投稿全文，科研诚信承诺书（末尾增加作者署名确认电子签的小模块），原始实验数据/图表源文件。其中，作者署名确认电子签的小模块要有作者排序、作者单位、第一署名单位的校验功能，可关联院内人员库，非本院人员手动标注。规避违规署名、挂名问题，审核端可一键核对。支持文件格式限制，避免杂乱附件，不要限制文件大小的上限。</w:t>
      </w:r>
    </w:p>
    <w:p w14:paraId="70BC7037">
      <w:pPr>
        <w:spacing w:line="360" w:lineRule="auto"/>
        <w:ind w:left="424" w:leftChars="202"/>
        <w:rPr>
          <w:rFonts w:hint="eastAsia"/>
          <w:color w:val="auto"/>
          <w:sz w:val="24"/>
        </w:rPr>
      </w:pPr>
    </w:p>
    <w:p w14:paraId="05B34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</w:rPr>
        <w:t>（2）投稿申请编号台账自动生成：每一条投稿申请自动生成唯一流水号，支持按科室、作者、投稿时间、期刊名称筛选导出台账。</w:t>
      </w:r>
    </w:p>
    <w:p w14:paraId="3645CF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5）</w:t>
      </w:r>
      <w:r>
        <w:rPr>
          <w:rFonts w:hint="eastAsia"/>
          <w:color w:val="auto"/>
          <w:sz w:val="24"/>
          <w:szCs w:val="24"/>
        </w:rPr>
        <w:t>版面费报销流程审批，报销资金库的匹配、可选项目经费、科教版面费等，自动读取项目经费余额，资金流向的查询统计，申请单导出。</w:t>
      </w:r>
    </w:p>
    <w:p w14:paraId="768990D2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3.2、专利管理</w:t>
      </w:r>
    </w:p>
    <w:p w14:paraId="5E095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1）</w:t>
      </w:r>
      <w:r>
        <w:rPr>
          <w:rFonts w:hint="eastAsia"/>
          <w:color w:val="auto"/>
          <w:sz w:val="24"/>
          <w:szCs w:val="24"/>
        </w:rPr>
        <w:t>专利管理：专利申请、填写专利申报信息，提交审批，专利获得后，追加专利人，授权时间、专利号等再次提交审批</w:t>
      </w:r>
      <w:r>
        <w:rPr>
          <w:rFonts w:hint="eastAsia"/>
          <w:color w:val="auto"/>
          <w:sz w:val="24"/>
          <w:szCs w:val="24"/>
          <w:lang w:eastAsia="zh-CN"/>
        </w:rPr>
        <w:t>，</w:t>
      </w:r>
      <w:r>
        <w:rPr>
          <w:rFonts w:hint="eastAsia"/>
          <w:color w:val="auto"/>
          <w:sz w:val="24"/>
          <w:szCs w:val="24"/>
          <w:lang w:val="en-US" w:eastAsia="zh-CN"/>
        </w:rPr>
        <w:t>同时实现专利OCR自动识别功能，拖拽至专利登记页面自动识别专利证书内容，支持PDF和图片。</w:t>
      </w:r>
    </w:p>
    <w:p w14:paraId="58E75A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</w:t>
      </w:r>
      <w:r>
        <w:rPr>
          <w:rFonts w:hint="eastAsia"/>
          <w:color w:val="auto"/>
          <w:sz w:val="24"/>
          <w:szCs w:val="24"/>
        </w:rPr>
        <w:t>）专利费报销流程审批，报销资金库的匹配、可选项目经费、科教专利费等，自动读取项目经费余额，资金流向的查询统计，申请单导出，统计分析。</w:t>
      </w:r>
    </w:p>
    <w:p w14:paraId="42C944DC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3.3、著作管理</w:t>
      </w:r>
    </w:p>
    <w:p w14:paraId="3D437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 w:firstLine="480" w:firstLineChars="200"/>
        <w:textAlignment w:val="auto"/>
        <w:rPr>
          <w:rFonts w:hint="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系统实现著作登记，包括：科室、姓名、书名、担任角色、著作类型（专著、编著、译著、科普读物、教材、工具类参 考书）、著作字数、所著字数、出版社名称、出版年月、国际标准书号（ISBN）、著作作者（多人按顺序排列）</w:t>
      </w:r>
      <w:r>
        <w:rPr>
          <w:rFonts w:hint="eastAsia"/>
          <w:color w:val="auto"/>
          <w:sz w:val="24"/>
          <w:szCs w:val="24"/>
          <w:lang w:eastAsia="zh-CN"/>
        </w:rPr>
        <w:t>。</w:t>
      </w:r>
    </w:p>
    <w:p w14:paraId="610C30D8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3.4、软著管理</w:t>
      </w:r>
    </w:p>
    <w:p w14:paraId="260B5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系统实现软著OCR自动识别功能，拖拽软著至页面自动识别内容填写，提高填写效率，同时支持获批软著报备登记申请、填报软著信息，著作权人，获得时间、著作号等，提交审批，支持上传专利证书及相关附件资料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。</w:t>
      </w:r>
    </w:p>
    <w:p w14:paraId="1CE27539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3.5、标准指南共识</w:t>
      </w:r>
    </w:p>
    <w:p w14:paraId="05668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 w:firstLine="480" w:firstLineChars="200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系统实现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标准指南共识的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登记：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项目名称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作者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项目类型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、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杂志级别等，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统计可以按照时间，类别等查询个人、科室、全院的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数据导出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，支持导入。</w:t>
      </w:r>
    </w:p>
    <w:p w14:paraId="411785C2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Style w:val="13"/>
          <w:rFonts w:hint="default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3.6、成果转化管理</w:t>
      </w:r>
    </w:p>
    <w:p w14:paraId="2B119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系统支持对于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医院现有科技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成果转化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管理办法及流程，实现成果转化的全流程管理，由科技处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审核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，法务办、审计处、财务处等相关部门联合管理，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支持成果转化跟踪登记和管理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 w:eastAsia="zh-CN"/>
        </w:rPr>
        <w:t>。</w:t>
      </w:r>
    </w:p>
    <w:p w14:paraId="029E06E8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Style w:val="13"/>
          <w:rFonts w:hint="default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Style w:val="13"/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3.7、AI智能搜索</w:t>
      </w:r>
    </w:p>
    <w:p w14:paraId="05BD8B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1）</w:t>
      </w:r>
      <w:r>
        <w:rPr>
          <w:rFonts w:hint="default"/>
          <w:color w:val="auto"/>
          <w:sz w:val="24"/>
          <w:szCs w:val="24"/>
          <w:lang w:val="en-US" w:eastAsia="zh-CN"/>
        </w:rPr>
        <w:t>AI文献搜索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通过深度学习技术，精准把握用户需求，实现数秒内对海量文献数据的精确检索。解决用户在跨库检索时效率低下和重复检索等问题，中英文文献均可按照分区展示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1747E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2）</w:t>
      </w:r>
      <w:r>
        <w:rPr>
          <w:rFonts w:hint="default"/>
          <w:color w:val="auto"/>
          <w:sz w:val="24"/>
          <w:szCs w:val="24"/>
          <w:lang w:val="en-US" w:eastAsia="zh-CN"/>
        </w:rPr>
        <w:t>数据库收录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数据库内融合收录PubMed、Embase、Cochrane等医疗生物领域英文文献信息，且对重复文献进行剔除；近20年SCI一区、二区文献全部收录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31438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3）</w:t>
      </w:r>
      <w:r>
        <w:rPr>
          <w:rFonts w:hint="default"/>
          <w:color w:val="auto"/>
          <w:sz w:val="24"/>
          <w:szCs w:val="24"/>
          <w:lang w:val="en-US" w:eastAsia="zh-CN"/>
        </w:rPr>
        <w:t>AI精要功能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提供几句话总结文献摘要主要内容，帮助用户快速了解文献的核心信息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36F07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4）</w:t>
      </w:r>
      <w:r>
        <w:rPr>
          <w:rFonts w:hint="default"/>
          <w:color w:val="auto"/>
          <w:sz w:val="24"/>
          <w:szCs w:val="24"/>
          <w:lang w:val="en-US" w:eastAsia="zh-CN"/>
        </w:rPr>
        <w:t>AI摘要结构化解读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自动分析摘要内容，并生成方法、结果、结论等结构化信息，快速方便用户了解摘要核心内容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52FD9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5）</w:t>
      </w:r>
      <w:r>
        <w:rPr>
          <w:rFonts w:hint="default"/>
          <w:color w:val="auto"/>
          <w:sz w:val="24"/>
          <w:szCs w:val="24"/>
          <w:lang w:val="en-US" w:eastAsia="zh-CN"/>
        </w:rPr>
        <w:t>AI指南/共识搜索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在线预览与下载功能，覆盖临床、药学、公共卫生等多个领域。用户可以轻松浏览和查看自己所需的指南内容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2F520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6）</w:t>
      </w:r>
      <w:r>
        <w:rPr>
          <w:rFonts w:hint="default"/>
          <w:color w:val="auto"/>
          <w:sz w:val="24"/>
          <w:szCs w:val="24"/>
          <w:lang w:val="en-US" w:eastAsia="zh-CN"/>
        </w:rPr>
        <w:t>科研综述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支持生成8000字以上科研综述，参考文献数量超50个，提供AI编辑功能（AI润色、AI改写、AI扩写、重新生成）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1CD94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7）</w:t>
      </w:r>
      <w:r>
        <w:rPr>
          <w:rFonts w:hint="default"/>
          <w:color w:val="auto"/>
          <w:sz w:val="24"/>
          <w:szCs w:val="24"/>
          <w:lang w:val="en-US" w:eastAsia="zh-CN"/>
        </w:rPr>
        <w:t>综述内容</w:t>
      </w:r>
      <w:r>
        <w:rPr>
          <w:rFonts w:hint="eastAsia"/>
          <w:color w:val="auto"/>
          <w:sz w:val="24"/>
          <w:szCs w:val="24"/>
          <w:lang w:val="en-US" w:eastAsia="zh-CN"/>
        </w:rPr>
        <w:t>：</w:t>
      </w:r>
      <w:r>
        <w:rPr>
          <w:rFonts w:hint="default"/>
          <w:color w:val="auto"/>
          <w:sz w:val="24"/>
          <w:szCs w:val="24"/>
          <w:lang w:val="en-US" w:eastAsia="zh-CN"/>
        </w:rPr>
        <w:t>生成的综述内容提供良好的逻辑性，语言连贯通顺；支持科研综述一键下载为Word文档功能；支持根据输入的题目一键生成研究方案，生成时间小于10分钟</w:t>
      </w:r>
      <w:r>
        <w:rPr>
          <w:rFonts w:hint="eastAsia"/>
          <w:color w:val="auto"/>
          <w:sz w:val="24"/>
          <w:szCs w:val="24"/>
          <w:lang w:val="en-US" w:eastAsia="zh-CN"/>
        </w:rPr>
        <w:t>。</w:t>
      </w:r>
    </w:p>
    <w:p w14:paraId="26357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4" w:leftChars="202"/>
        <w:textAlignment w:val="auto"/>
        <w:rPr>
          <w:rFonts w:hint="default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8）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智能对话：基于大语言模型的医疗主题智能聊天机器人，通过学习和理解医疗语言，能够进行自然语言对话，深度理解用户的问题，给出更加准确的诊断和建议；</w:t>
      </w:r>
    </w:p>
    <w:p w14:paraId="5E80A265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4、奖项管理</w:t>
      </w:r>
    </w:p>
    <w:p w14:paraId="6227B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</w:rPr>
        <w:t>1）</w:t>
      </w:r>
      <w:r>
        <w:rPr>
          <w:rFonts w:hint="eastAsia"/>
          <w:color w:val="auto"/>
          <w:sz w:val="24"/>
          <w:szCs w:val="24"/>
          <w:lang w:val="en-US" w:eastAsia="zh-CN"/>
        </w:rPr>
        <w:t>奖项申报：实现奖项的全流程的申报管理，设置奖项申报计划、奖项初审、奖项学术评审和发伦理审查。</w:t>
      </w:r>
    </w:p>
    <w:p w14:paraId="69AA2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2）奖项登记：实现</w:t>
      </w:r>
      <w:r>
        <w:rPr>
          <w:rFonts w:hint="eastAsia"/>
          <w:color w:val="auto"/>
          <w:sz w:val="24"/>
          <w:szCs w:val="24"/>
        </w:rPr>
        <w:t>科技进步奖、新技术引进奖的管理、报奖奖励、统计查询。数据可关联人才考核方案。</w:t>
      </w:r>
    </w:p>
    <w:p w14:paraId="72E4FA56">
      <w:pPr>
        <w:spacing w:line="360" w:lineRule="auto"/>
        <w:ind w:left="420" w:leftChars="200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lang w:val="en-US" w:eastAsia="zh-CN"/>
        </w:rPr>
        <w:t>3）奖项审核：申报依托的成果及相关附件合规性的判断及提示。</w:t>
      </w:r>
    </w:p>
    <w:p w14:paraId="5CAA68AB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5、学术人才管理</w:t>
      </w:r>
    </w:p>
    <w:p w14:paraId="515F317C">
      <w:pPr>
        <w:pStyle w:val="4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.1、学术会议</w:t>
      </w:r>
    </w:p>
    <w:p w14:paraId="3B48773D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  <w:t>系统实现学术会议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院内组织的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  <w:t>申请，审批。</w:t>
      </w:r>
    </w:p>
    <w:p w14:paraId="7682714E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  <w:t>统计可以按照时间，类别等查询个人、科室、全院的外出学术活动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en-US" w:eastAsia="zh-CN"/>
        </w:rPr>
        <w:t>情况，如参加的学术会议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  <w:t>名称、时间、地点、主办单位、会议级别（国际、国家级、港澳台、省级、市级），参会形式（参会、大会发言、壁报、材料参编）</w:t>
      </w:r>
      <w:r>
        <w:rPr>
          <w:rFonts w:hint="eastAsia" w:asciiTheme="minorEastAsia" w:hAnsiTheme="minorEastAsia" w:cstheme="minorEastAsia"/>
          <w:color w:val="auto"/>
          <w:kern w:val="0"/>
          <w:sz w:val="24"/>
          <w:szCs w:val="24"/>
          <w:lang w:val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  <w:t>支持导入导出。</w:t>
      </w:r>
    </w:p>
    <w:p w14:paraId="09909BAC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zh-CN"/>
        </w:rPr>
      </w:pPr>
      <w:bookmarkStart w:id="0" w:name="_Toc25178"/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会议费报销</w:t>
      </w:r>
      <w:bookmarkEnd w:id="0"/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lang w:val="en-US" w:eastAsia="zh-CN"/>
        </w:rPr>
        <w:t>：资金库的匹配、可选项目经费、外出会议经费等，自动读取项目经费余额，资金流向的查询统计。</w:t>
      </w:r>
    </w:p>
    <w:p w14:paraId="31D2D6E3">
      <w:pPr>
        <w:pStyle w:val="4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81" w:firstLine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cstheme="minorEastAsia"/>
          <w:color w:val="auto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lang w:val="en-US" w:eastAsia="zh-CN"/>
        </w:rPr>
        <w:t>、期刊任职</w:t>
      </w:r>
    </w:p>
    <w:p w14:paraId="70755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eastAsia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实现期刊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任职登记管理、委员推荐申请、证书登记，数据可关联人才考核方案。</w:t>
      </w:r>
    </w:p>
    <w:p w14:paraId="24E0B19E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6、</w:t>
      </w:r>
      <w:r>
        <w:rPr>
          <w:rFonts w:hint="default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学科建设</w:t>
      </w:r>
    </w:p>
    <w:p w14:paraId="59045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1）重点学科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全流程管理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系统能实现项目的申报、项目评审、专家评审、立项管理、合同管理，经费管理、过程跟踪、结题验收、项目统计等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；</w:t>
      </w:r>
    </w:p>
    <w:p w14:paraId="24D29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2）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项目评审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评审项目可实现多选，选择评审专家根据专家所在科室自动根据设置的评分模板进行打分，对修改的项目携带专家评审意见驳回修改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；</w:t>
      </w:r>
    </w:p>
    <w:p w14:paraId="44A10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3）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过程管理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系统实现过程管理，项目负责人根据各科室的指标统计表进行数据填报，可设置填报周期，对于填报的数据各科室管理员审核，同时可追溯历史填报记录等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；</w:t>
      </w:r>
    </w:p>
    <w:p w14:paraId="30A57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指标填报：科室每月根据各职能科室指标统计表填报指标数据。</w:t>
      </w:r>
    </w:p>
    <w:p w14:paraId="3DB84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4）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指标管理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学科负责人根据各职能科室对学科建设的指标要求，每月填报指标统计数据，可设置填报周期，自动发提醒待办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；</w:t>
      </w:r>
    </w:p>
    <w:p w14:paraId="15D48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5）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数据统计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学科办公室领导可查看所有学科填报的数据，可按要求统计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；</w:t>
      </w:r>
    </w:p>
    <w:p w14:paraId="4A14B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6）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结题验收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系统实现结题验收的管理，结题申请，考核意见反馈等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；</w:t>
      </w:r>
    </w:p>
    <w:p w14:paraId="60B20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7）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经费管理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经费入账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到账审核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经费使用申请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项目负责人通过系统填写项目报销申请，包括经费类型、金额、用途等内容，提交审批。</w:t>
      </w:r>
    </w:p>
    <w:p w14:paraId="742ADB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8）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学科培育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根据学科建设评估标准，进行自测打分，标准可关联科研数据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。</w:t>
      </w:r>
    </w:p>
    <w:p w14:paraId="6DB9DE59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7、科研诚信管理</w:t>
      </w:r>
    </w:p>
    <w:p w14:paraId="6D02B110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旨在搭建失信录入、核查评审、分级处置、台账归档、公示宣教、智能预警全生命周期管理体系，实现全院科研人员学术诚信行为可记录、可核查、可约束、可溯源、可统计，与课题申报、经费使用、成果认定、职称评审等院内科研权限深度联动管控。</w:t>
      </w:r>
    </w:p>
    <w:p w14:paraId="1B4FA6BB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1）学术不端行为标准化录入与存证</w:t>
      </w:r>
    </w:p>
    <w:p w14:paraId="1D7518D2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标准化字段录入：完整登记失信人员姓名、科室、工号、职称、失信发生时间、违规项目/成果名称、失信行为类型、详细事实说明、调查经过、佐证材料；</w:t>
      </w:r>
    </w:p>
    <w:p w14:paraId="3045E351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材料归档留存：支持上传调查报告、原始数据、论文截图、整改说明、处理决议、处分文件等佐证资料，多格式文件在线预览、版本留存、不可篡改；</w:t>
      </w:r>
    </w:p>
    <w:p w14:paraId="042E68A8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处置结果录入：线上录入院内及上级主管部门调查结论、整改要求、处分等级、处置措施、整改完成情况、解禁时间，形成完整案件卷宗。</w:t>
      </w:r>
    </w:p>
    <w:p w14:paraId="03719A6D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2）学术不端案件分级评审流程</w:t>
      </w:r>
    </w:p>
    <w:p w14:paraId="76AF0DA0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实现科研失信案件形式审查、专家复核、集体研判、结果认定标准化线上流程，闭环规范案件处置，杜绝人工随意判定。</w:t>
      </w:r>
    </w:p>
    <w:p w14:paraId="3AC21180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形式初审：科研管理部门对提交的失信线索、佐证材料进行初审，核查资料完整性、事实真实性，判定是否进入正式评审流程；</w:t>
      </w:r>
    </w:p>
    <w:p w14:paraId="5866BDF7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专家复核评审：自动/手动选派科研诚信评审专家，线上开展事实核查、行为定性、等级判定，在线填写评审意见；</w:t>
      </w:r>
    </w:p>
    <w:p w14:paraId="4E0D0575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结果终审确认：管理部门结合初审意见、专家评审意见，完成最终定性、处置定级，生成正式案件认定结论；</w:t>
      </w:r>
    </w:p>
    <w:p w14:paraId="64974AF2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全程留痕溯源：所有线索提交、审查记录、专家意见、终审结果、整改记录全程留痕，支持稽查溯源，符合科研诚信合规核查要求。</w:t>
      </w:r>
    </w:p>
    <w:p w14:paraId="1B22FFE8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3）“联合惩戒”配置</w:t>
      </w:r>
    </w:p>
    <w:p w14:paraId="28C02087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录入处理意见后，系统自动将失信人员标记为“失信状态”，并联动科研管理系统、财务系统、人事系统、教育系统、科研项目申报平台等，限制其经费使用、课题申报、职称晋升、导师遴选等行为。</w:t>
      </w:r>
    </w:p>
    <w:p w14:paraId="6DACAC30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动态解禁管理：支持设置惩戒有效期，到期自动解除限制，留存惩戒历史记录，永久归档备查。</w:t>
      </w:r>
    </w:p>
    <w:p w14:paraId="1456A2C7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4）科研人员年度诚信档案自动生成</w:t>
      </w:r>
    </w:p>
    <w:p w14:paraId="18FE1631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系统依托日常失信记录、案件评审、整改情况、诚信行为数据，自动生成科研人员年度科研诚信档案，实现一人一档、年度更新。</w:t>
      </w:r>
    </w:p>
    <w:p w14:paraId="4CEA9651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5）科研诚信宣教与通报公示管理</w:t>
      </w:r>
    </w:p>
    <w:p w14:paraId="64055E29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搭建院内科研诚信公开宣教板块，实现政策落地、案例警示常态化管理。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</w:t>
      </w:r>
    </w:p>
    <w:p w14:paraId="3CFA3B10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政策文件发布：管理端可上传发布国家、省市、院内科研诚信管理制度、规范通知、培训文件，全员可在线查阅学习；</w:t>
      </w:r>
    </w:p>
    <w:p w14:paraId="559573E6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典型案件通报：支持院内学术不端典型案例、上级通报案件脱敏公示，开展警示教育；</w:t>
      </w:r>
    </w:p>
    <w:p w14:paraId="5A0EA424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- 培训管理适配：系统应支持科研诚信教育培训的在线发布、报名、签到、考核，自动记录培训完成情况。</w:t>
      </w:r>
    </w:p>
    <w:p w14:paraId="23AF0C54">
      <w:pPr>
        <w:spacing w:line="360" w:lineRule="auto"/>
        <w:ind w:left="479" w:leftChars="228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6）数据智能统计：自动统计全院年度失信案件数量、类型分布、科室分布、处置完成率、整改合格率，生成可视化报表，支撑院内科研诚信质控与年度工作总结。</w:t>
      </w:r>
    </w:p>
    <w:p w14:paraId="388D96BF">
      <w:pPr>
        <w:spacing w:line="360" w:lineRule="auto"/>
        <w:ind w:left="479" w:leftChars="228"/>
        <w:rPr>
          <w:rFonts w:hint="eastAsia" w:asciiTheme="minorEastAsia" w:hAnsiTheme="minorEastAsia" w:cstheme="minorEastAsia"/>
          <w:color w:val="auto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7）全程防篡改与合规归档：所有失信线索、评审流程、处置结果、档案记录、公示文件对接系统防篡改机制，修改全程留痕、操作可溯源，支持长期归档、随时调阅。</w:t>
      </w:r>
    </w:p>
    <w:p w14:paraId="77594D03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8、学术评审管理</w:t>
      </w:r>
    </w:p>
    <w:p w14:paraId="78FAD9B4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79" w:leftChars="114" w:hanging="240" w:hanging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1）专家库建设，可以设置专家星级、专家简介、专家评审明细和评审率、立项率等。</w:t>
      </w:r>
    </w:p>
    <w:p w14:paraId="086B0469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2）新建评审方案，可按照评审的类别建立方案，以及对评审项目设置打分模板。</w:t>
      </w:r>
    </w:p>
    <w:p w14:paraId="464F738F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3）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项目评审，可按星级随机评审，选择评审方案评审以及指定专家评审，支持PC端和移动端评审。</w:t>
      </w:r>
    </w:p>
    <w:p w14:paraId="7AA3B102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9、实验室管理</w:t>
      </w:r>
    </w:p>
    <w:p w14:paraId="4376D57A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49" w:leftChars="114" w:hanging="210" w:hangingChars="1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1）科研人员可以查看相关实验室空闲状态。可以在系统预约空闲实验室，需提交相关实验信息、使用人员信息、使用时间等，通过科研管理部门审核后，可以使用相关实验室房间。</w:t>
      </w:r>
    </w:p>
    <w:p w14:paraId="436F0526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left="479" w:leftChars="228" w:firstLine="0" w:firstLineChars="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2）科研管理人员可以设置培训计划，参与培训人员可在线预约培训，现场签到，可查看培训预约和参培人员的统计。</w:t>
      </w:r>
    </w:p>
    <w:p w14:paraId="3F8145BD">
      <w:pPr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3）同时可在手机端实现实验室的预约和培训预约，查看预约记录。</w:t>
      </w:r>
    </w:p>
    <w:p w14:paraId="5618E0C9">
      <w:pPr>
        <w:pStyle w:val="14"/>
        <w:shd w:val="clear" w:color="auto" w:fill="FFFFFF"/>
        <w:spacing w:before="240" w:beforeAutospacing="0" w:after="240" w:afterAutospacing="0"/>
        <w:ind w:firstLine="480" w:firstLineChars="200"/>
        <w:rPr>
          <w:rFonts w:ascii="Segoe UI" w:hAnsi="Segoe UI" w:cs="Segoe UI"/>
          <w:color w:val="auto"/>
        </w:rPr>
      </w:pPr>
      <w:r>
        <w:rPr>
          <w:color w:val="auto"/>
        </w:rPr>
        <w:t>4）系统支持公共实验试剂、耗材的入库与领用全流程登记，实现物资库存的动态监管。具体功能包括：</w:t>
      </w:r>
    </w:p>
    <w:p w14:paraId="38D04A45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入库登记</w:t>
      </w:r>
      <w:r>
        <w:rPr>
          <w:rFonts w:ascii="Segoe UI" w:hAnsi="Segoe UI" w:cs="Segoe UI"/>
          <w:color w:val="auto"/>
        </w:rPr>
        <w:t>：</w:t>
      </w:r>
      <w:r>
        <w:rPr>
          <w:color w:val="auto"/>
        </w:rPr>
        <w:t>管理人员可录入试剂/耗材的名称、规格、批次、有效期、供应商、入库数量等信息，支持附件上传（如采购单、质检报告），系统自动更新库存总量。</w:t>
      </w:r>
    </w:p>
    <w:p w14:paraId="29BE1CF3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color w:val="auto"/>
        </w:rPr>
      </w:pPr>
      <w:r>
        <w:rPr>
          <w:rStyle w:val="9"/>
          <w:rFonts w:ascii="Segoe UI" w:hAnsi="Segoe UI" w:cs="Segoe UI"/>
          <w:color w:val="auto"/>
        </w:rPr>
        <w:t>领用登记</w:t>
      </w:r>
      <w:r>
        <w:rPr>
          <w:rFonts w:ascii="Segoe UI" w:hAnsi="Segoe UI" w:cs="Segoe UI"/>
          <w:color w:val="auto"/>
        </w:rPr>
        <w:t>：</w:t>
      </w:r>
      <w:r>
        <w:rPr>
          <w:color w:val="auto"/>
        </w:rPr>
        <w:t>科研人员在线提交领用申请，填写领用数量、用途说明及关联项目（如科研课题），经管理人员审核后扣减库存。系统记录领用人、领用时间、领用数量，支持按项目、人员、时间维度统计领用情况。</w:t>
      </w:r>
    </w:p>
    <w:p w14:paraId="7D694E9F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库存预警</w:t>
      </w:r>
      <w:r>
        <w:rPr>
          <w:rFonts w:ascii="Segoe UI" w:hAnsi="Segoe UI" w:cs="Segoe UI"/>
          <w:color w:val="auto"/>
        </w:rPr>
        <w:t>：系统根据设定的最低库存阈值，自动提醒管理人员及时补充；同时支持按有效期进行临期预警，避免浪费。</w:t>
      </w:r>
    </w:p>
    <w:p w14:paraId="4BFA1A61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使用量与剩余量查询</w:t>
      </w:r>
      <w:r>
        <w:rPr>
          <w:rFonts w:ascii="Segoe UI" w:hAnsi="Segoe UI" w:cs="Segoe UI"/>
          <w:color w:val="auto"/>
        </w:rPr>
        <w:t>：</w:t>
      </w:r>
      <w:r>
        <w:rPr>
          <w:color w:val="auto"/>
        </w:rPr>
        <w:t>管理人员和授权科研人员可实时查看每种试剂/耗材的当前剩余量、累计使用量、历史领用明细，并支持图表化展示（如月度消耗趋势）。移动端同步支持库存查询功能。</w:t>
      </w:r>
    </w:p>
    <w:p w14:paraId="0B0597D1">
      <w:pPr>
        <w:pStyle w:val="14"/>
        <w:shd w:val="clear" w:color="auto" w:fill="FFFFFF"/>
        <w:spacing w:before="240" w:beforeAutospacing="0" w:after="240" w:afterAutospacing="0"/>
        <w:ind w:firstLine="480" w:firstLineChars="200"/>
        <w:rPr>
          <w:color w:val="auto"/>
        </w:rPr>
      </w:pPr>
      <w:r>
        <w:rPr>
          <w:rFonts w:hint="eastAsia"/>
          <w:color w:val="auto"/>
        </w:rPr>
        <w:t>5</w:t>
      </w:r>
      <w:r>
        <w:rPr>
          <w:color w:val="auto"/>
        </w:rPr>
        <w:t>）系统实现实验室卫生轮值工作的登记与监督，确保环境整洁合规。具体功能包括：</w:t>
      </w:r>
    </w:p>
    <w:p w14:paraId="709DD78F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轮值计划设置</w:t>
      </w:r>
      <w:r>
        <w:rPr>
          <w:rFonts w:ascii="Segoe UI" w:hAnsi="Segoe UI" w:cs="Segoe UI"/>
          <w:color w:val="auto"/>
        </w:rPr>
        <w:t>：实验室管理员可创建每周轮值表，指定值班人员、轮值日期及负责区域（如细胞房、分析室等），系统自动向轮值人员发送待办提醒。</w:t>
      </w:r>
    </w:p>
    <w:p w14:paraId="0AA5DF8C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打扫结果登记</w:t>
      </w:r>
      <w:r>
        <w:rPr>
          <w:rFonts w:ascii="Segoe UI" w:hAnsi="Segoe UI" w:cs="Segoe UI"/>
          <w:color w:val="auto"/>
        </w:rPr>
        <w:t>：轮值人员完成卫生打扫后，需在系统中确认完成，并拍照上传打扫后现场照片（支持多张）。系统记录完成时间、操作人，并支持地理位置水印以增强真实性。</w:t>
      </w:r>
    </w:p>
    <w:p w14:paraId="6BD9F9A5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审核与查看</w:t>
      </w:r>
      <w:r>
        <w:rPr>
          <w:rFonts w:ascii="Segoe UI" w:hAnsi="Segoe UI" w:cs="Segoe UI"/>
          <w:color w:val="auto"/>
        </w:rPr>
        <w:t>：</w:t>
      </w:r>
      <w:r>
        <w:rPr>
          <w:color w:val="auto"/>
        </w:rPr>
        <w:t>管理人员可在PC端或移动端查看所有轮值记录，包括未完成、已完成、逾期情况，并支持按区域、日期、人员筛选。点击每条记录可查看上传的打扫照片，作为检查依据。</w:t>
      </w:r>
    </w:p>
    <w:p w14:paraId="244B1DC3">
      <w:pPr>
        <w:pStyle w:val="14"/>
        <w:shd w:val="clear" w:color="auto" w:fill="FFFFFF"/>
        <w:spacing w:before="240" w:beforeAutospacing="0" w:after="240" w:afterAutospacing="0"/>
        <w:ind w:firstLine="482" w:firstLineChars="200"/>
        <w:rPr>
          <w:rFonts w:ascii="Segoe UI" w:hAnsi="Segoe UI" w:cs="Segoe UI"/>
          <w:color w:val="auto"/>
        </w:rPr>
      </w:pPr>
      <w:r>
        <w:rPr>
          <w:rStyle w:val="9"/>
          <w:rFonts w:ascii="Segoe UI" w:hAnsi="Segoe UI" w:cs="Segoe UI"/>
          <w:color w:val="auto"/>
        </w:rPr>
        <w:t>统计与导出</w:t>
      </w:r>
      <w:r>
        <w:rPr>
          <w:rFonts w:ascii="Segoe UI" w:hAnsi="Segoe UI" w:cs="Segoe UI"/>
          <w:color w:val="auto"/>
        </w:rPr>
        <w:t>：系统自动统计各轮值人员的完成率、逾期次数，支持导出卫生轮值台账。</w:t>
      </w:r>
    </w:p>
    <w:p w14:paraId="5F900624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10、伦理审查管理</w:t>
      </w:r>
    </w:p>
    <w:p w14:paraId="2E611452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1）伦理审查全流程闭环管理</w:t>
      </w:r>
    </w:p>
    <w:p w14:paraId="3024E0C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系统覆盖全院所有科研项目伦理审查业务，实现项目线上申报、资料上传、流程流转、分级审查、结果查询、全程溯源的闭环管控，兼容线上评审、线下会议评审两种工作模式。</w:t>
      </w:r>
    </w:p>
    <w:p w14:paraId="11D03259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角色化待办智能归集：按科研人员、伦理秘书、伦理主任、审查专家、系统管理员区分角色，精准归集各类待办、在办、已办任务，配套弹窗、站内消息双重提醒，避免流程遗漏。</w:t>
      </w:r>
    </w:p>
    <w:p w14:paraId="7B284410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项目资料标准化管控：针对初始审查、修正案、跟踪审查、SAE审查等不同项目类型，配置标准化资料模板，强制校验必填材料；支持PDF、Word、图片、压缩包多格式上传，实现资料在线预览、版本留存、修改溯源，锁定原始申报资料，禁止随意删除。</w:t>
      </w:r>
    </w:p>
    <w:p w14:paraId="52C821CE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全流程进度可视化：实时展示项目当前审查节点、处理人员、流转时间及全部操作记录，支持通过项目编号、名称、负责人、科室、审查类型、审查状态、时间区间等多维度精准检索权限内项目。</w:t>
      </w:r>
    </w:p>
    <w:p w14:paraId="6B4A19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0" w:firstLineChars="0"/>
        <w:textAlignment w:val="auto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highlight w:val="none"/>
        </w:rPr>
        <w:t>- 审查状态自动迭代：依据主任预审、专家评审、会议决议、终审归档等关键节点，自动更新项目审查状态，形成申报-审查-审批-办结-归档的完整业务闭环。</w:t>
      </w:r>
    </w:p>
    <w:p w14:paraId="2EFBDCA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2）快速审查专项智能化管理</w:t>
      </w:r>
    </w:p>
    <w:p w14:paraId="0F4CF68C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快审任务智能分配：伦理主任预审判定为快速审查项目后，系统支持自动或手动指派快审专家，自动生成专家待办任务。</w:t>
      </w:r>
    </w:p>
    <w:p w14:paraId="169B0059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专家线上独立评审：专家可在线查阅全套申报资料，线上填写评审意见、选取审查结论（同意、修改后同意、不同意、提交会审），全程操作留痕、可追溯核查。</w:t>
      </w:r>
    </w:p>
    <w:p w14:paraId="5369259B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专家意见智能汇总：系统自动抓取多位专家评审意见，合并重复内容、分类梳理异议要点，一键生成标准化快审汇总意见。</w:t>
      </w:r>
    </w:p>
    <w:p w14:paraId="03D48BE5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快审专家档案管理：搭建专属快审专家数据库，支持按姓名、专业领域、评审次数、评审时效、评审通过率多维度筛选查询，便于精准选派评审人员。</w:t>
      </w:r>
    </w:p>
    <w:p w14:paraId="0C0788D7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快审结果自动归档：项目办结后，系统自动留存评审记录、专家意见及审查结论，生成标准化快审审查表，支持在线预览、下载、打印归档。</w:t>
      </w:r>
    </w:p>
    <w:p w14:paraId="207FB79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3）会议审查全流程规范化管理</w:t>
      </w:r>
    </w:p>
    <w:p w14:paraId="5EB303EE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会议线上申请筹备：伦理秘书可线上发起会议申请，填报会议时间、地点、参会委员、待审项目清单，提交伦理主任审批。</w:t>
      </w:r>
    </w:p>
    <w:p w14:paraId="14AAA6C4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会议任务批量分派：会议审批通过后，系统自动生成会议日程与委员待办任务，通过站内信、短信、微信多渠道批量推送会议通知，同步附开会议程、待审项目及资料查阅入口。</w:t>
      </w:r>
    </w:p>
    <w:p w14:paraId="71CC76DB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参会合规智能校验：支持线上委员签到、缺席报备，自动统计参会人数、有效表决人数、缺席人员及原因，自动核验参会人数是否符合法定开会标准。</w:t>
      </w:r>
    </w:p>
    <w:p w14:paraId="4BF89E9A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全类型审查项目覆盖：完整支持快速审查通报、免除审查通报、初始审查、修正案审查、跟踪审查、SAE审查、违背方案审查、项目暂停/终止、研究完成、复审、重审、重启研究等全部审查类型，支持项目批量导入、分类分栏评审。</w:t>
      </w:r>
    </w:p>
    <w:p w14:paraId="1BE95B4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会议决议智能汇总：支持会议现场线上录入委员评审意见与表决结果，系统自动汇总全部意见、表决票数及最终审查决议，规避人工统计误差。</w:t>
      </w:r>
    </w:p>
    <w:p w14:paraId="625F8AC2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批件一键生成报送：会议决议确认后，可一键生成伦理批件、审查意见书，自动推送至项目负责人，同步线上报送科研管理部门，全程留存报送记录。</w:t>
      </w:r>
    </w:p>
    <w:p w14:paraId="065B17C3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会议文书自动生成归档：内置国家标准文书模板，可自动生成、在线编辑、批量导出打印会议议程、签到表、会议记录表、决议表、会议总结等全套资料，支持批量打包归档。</w:t>
      </w:r>
    </w:p>
    <w:p w14:paraId="16FBB5B3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4）主任预审与专家指派管控</w:t>
      </w:r>
    </w:p>
    <w:p w14:paraId="517644CE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项目前置预审：所有新增伦理项目须经伦理主任线上预审，主任可查阅全套申报资料，在线出具预审意见。</w:t>
      </w:r>
    </w:p>
    <w:p w14:paraId="413A7631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审查方式智能分流：主任预审后可判定审查类型（免除审查、快速审查、会议审查），系统根据判定结果自动分流至对应业务流程。</w:t>
      </w:r>
    </w:p>
    <w:p w14:paraId="7AD50A1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评审专家精准指派：主任可根据项目专业领域，手动指定主审、副审委员，系统自动生成评审任务，实现对口专业化评审。</w:t>
      </w:r>
    </w:p>
    <w:p w14:paraId="59F121D2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预审全程留痕溯源：所有预审意见、审查方式判定、专家指派记录全程留存、不可篡改。</w:t>
      </w:r>
    </w:p>
    <w:p w14:paraId="50AB7ACC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5）评审专家经费精细化管理</w:t>
      </w:r>
    </w:p>
    <w:p w14:paraId="5D92CE4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差异化经费核算：区分快速审查、会议审查两类评审经费，支持单次、月度、季度批量核算；可自定义药物、器械、IIT等不同项目类型的收费细项，灵活配置主审、独立顾问、参会委员的劳务费标准。</w:t>
      </w:r>
    </w:p>
    <w:p w14:paraId="640088C1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批量审批发放：支持伦理秘书批量勾选评审人员、提交经费发放申请，可对接院内审批流程，完成线上逐级审批。</w:t>
      </w:r>
    </w:p>
    <w:p w14:paraId="038B43D6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经费台账全程可查：建立永久专家经费台账，完整留存发放批次、金额、对应项目、评审时间、收款人员、审批流程、发放状态等信息，支持精准检索与报表导出。</w:t>
      </w:r>
    </w:p>
    <w:p w14:paraId="10B6158D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智能经费报表生成：自动生成月度、年度专家劳务费统计表及发放明细台账，可直接用于财务对账与年终归档。</w:t>
      </w:r>
    </w:p>
    <w:p w14:paraId="36F33C93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6）系统配置与智能统计管理</w:t>
      </w:r>
    </w:p>
    <w:p w14:paraId="2C67A6A6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分级权限管理：设置超级管理员、伦理主任、伦理秘书、审查专家、科研负责人、科室管理员多级角色，实现操作权限、数据访问权限隔离，全方位保障数据安全。</w:t>
      </w:r>
    </w:p>
    <w:p w14:paraId="1F710094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项目全生命周期归档：所有项目申报资料、评审记录、会议文书、批件意见书、经费台账等数据自动归档，实现“一项目一档案”永久存储，随时可调阅核查，满足药监稽查、科研核查合规要求。</w:t>
      </w:r>
    </w:p>
    <w:p w14:paraId="4D2FF22D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多维智能数据统计：支持送审登记、项目审查、会议召开、审查类别、监督管理、审查方式等多维度数据查询；自动统计项目占比、会议次数、评审时效、项目通过率、经费收支等核心数据，支持月度、年度可视化展示及一键导出。</w:t>
      </w:r>
    </w:p>
    <w:p w14:paraId="436A7BF8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智能预警提醒：针对专家评审、主任审批、年度跟踪审查等关键节点设置超时提醒；系统自动识别跟踪审查到期项目，提前1个月推送到期提醒，对逾期未提交项目自动触发预警，支持统一台账查询，杜绝项目超期滞后。</w:t>
      </w:r>
    </w:p>
    <w:p w14:paraId="6722A7D7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年度报告自动生成：依据系统审查数据，自动生成符合NMPA要求的伦理委员会年度工作报告，涵盖委员信息、审查类型汇总、会议开展情况、平均审查周期、人员培训等核心内容。</w:t>
      </w:r>
    </w:p>
    <w:p w14:paraId="378DDFA3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AI智能审查辅助：搭载AI智能审查功能，可自动解析送审文件，识别受试者隐私保护不足、知情同意书不规范等合规风险，向伦理秘书及主审专家推送风险提示，并配套参考案例辅助评审。</w:t>
      </w:r>
    </w:p>
    <w:p w14:paraId="1F1781D7">
      <w:pPr>
        <w:spacing w:line="360" w:lineRule="auto"/>
        <w:ind w:left="420" w:left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- 全程溯源防篡改：对接国家级CA数字证书，支持多方角色在线实名认证签署；所有评审意见、申报资料、审批记录修改全程留痕、自动锁定、不可篡改。</w:t>
      </w:r>
    </w:p>
    <w:p w14:paraId="2C66EA0C">
      <w:pPr>
        <w:pStyle w:val="3"/>
        <w:pageBreakBefore w:val="0"/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lang w:val="en-US" w:eastAsia="zh-CN"/>
        </w:rPr>
        <w:t>11、考评管理</w:t>
      </w:r>
    </w:p>
    <w:p w14:paraId="31E67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5" w:leftChars="150" w:firstLine="240" w:firstLineChars="1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1）</w:t>
      </w:r>
      <w:r>
        <w:rPr>
          <w:rFonts w:hint="eastAsia"/>
          <w:color w:val="auto"/>
          <w:sz w:val="24"/>
          <w:szCs w:val="24"/>
          <w:lang w:val="en-US" w:eastAsia="zh-CN"/>
        </w:rPr>
        <w:t>绩效管理：</w:t>
      </w:r>
      <w:r>
        <w:rPr>
          <w:color w:val="auto"/>
          <w:sz w:val="24"/>
          <w:szCs w:val="24"/>
        </w:rPr>
        <w:t>添加考核方案，包含方案名称、方案有效时间，</w:t>
      </w:r>
      <w:r>
        <w:rPr>
          <w:rFonts w:hint="eastAsia"/>
          <w:color w:val="auto"/>
          <w:sz w:val="24"/>
          <w:szCs w:val="24"/>
        </w:rPr>
        <w:t>系统自动匹配成果数据，根据数据给出完成率的统计。</w:t>
      </w:r>
    </w:p>
    <w:p w14:paraId="01640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5" w:leftChars="150" w:firstLine="240" w:firstLineChars="100"/>
        <w:textAlignment w:val="auto"/>
        <w:rPr>
          <w:rFonts w:hint="eastAsia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2）可按个人、科室进行考核，同时可按人才年度绩效考核，为领导决策提供数据支撑。</w:t>
      </w:r>
    </w:p>
    <w:p w14:paraId="1C39D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5" w:leftChars="150" w:firstLine="24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3）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t>奖励管理：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根据医院奖励办法实现项目、论文、专利、奖项、著作等的奖励的自动计算，项目负责人自主申请或认领。</w:t>
      </w:r>
    </w:p>
    <w:p w14:paraId="4B760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5" w:leftChars="150" w:firstLine="240" w:firstLineChars="1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4）学科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0"/>
          <w:sz w:val="24"/>
          <w:szCs w:val="24"/>
          <w:lang w:val="en-US" w:eastAsia="zh-CN"/>
        </w:rPr>
        <w:t>考评：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实现重点学科培育数据的关联、医学学科考评、学科带头人考评等。</w:t>
      </w:r>
    </w:p>
    <w:p w14:paraId="24A7A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5" w:leftChars="150" w:firstLine="240" w:firstLineChars="10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lang w:val="en-US" w:eastAsia="zh-CN"/>
        </w:rPr>
        <w:t>5）人才考核：实现医技药研、护理、行政职称的聘任申请，模板建设、自动计算得分等功能。</w:t>
      </w:r>
    </w:p>
    <w:p w14:paraId="75742E85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</w:p>
    <w:p w14:paraId="7AD27358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四</w:t>
      </w:r>
      <w:r>
        <w:t>、商务售后要求</w:t>
      </w:r>
    </w:p>
    <w:p w14:paraId="3DBB0D19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供应商提供3年免费基础技术保障服务；质保期内供应商提供远程常态化技术支撑。</w:t>
      </w:r>
    </w:p>
    <w:p w14:paraId="0932B14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供应商具备完善售后服务体系即可，不强制硬性设立固定实体驻点，可依托供应商在地市级授权服务团队 / 合作服务网点、专职售后人员统筹保障本地服务响应。</w:t>
      </w:r>
    </w:p>
    <w:p w14:paraId="454C710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服务响应标准：提供 7×8 小时远程咨询与线上技术支持；远程可解决问题优先远程处置；确需现场处置、系统版本合规升级的，按双方约定流程提供上门配合服务。</w:t>
      </w:r>
    </w:p>
    <w:p w14:paraId="3124B8D0">
      <w:pPr>
        <w:widowControl w:val="0"/>
        <w:spacing w:before="0" w:after="0"/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812724B">
      <w:pPr>
        <w:ind w:left="0" w:leftChars="0" w:firstLine="0" w:firstLineChars="0"/>
        <w:rPr>
          <w:rFonts w:hint="eastAsia"/>
        </w:rPr>
      </w:pPr>
    </w:p>
    <w:p w14:paraId="070D1580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五</w:t>
      </w:r>
      <w:r>
        <w:t>、现场对接</w:t>
      </w:r>
    </w:p>
    <w:p w14:paraId="496E8E93">
      <w:pPr>
        <w:numPr>
          <w:ilvl w:val="0"/>
          <w:numId w:val="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如需了解现场情况，联系电话：闵老师 13382768868</w:t>
      </w:r>
      <w:bookmarkStart w:id="1" w:name="_GoBack"/>
      <w:bookmarkEnd w:id="1"/>
      <w:r>
        <w:rPr>
          <w:rFonts w:hint="eastAsia"/>
          <w:lang w:val="en-US" w:eastAsia="zh-CN"/>
        </w:rPr>
        <w:t>。</w:t>
      </w:r>
    </w:p>
    <w:p w14:paraId="75500CC6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ADEC9"/>
    <w:multiLevelType w:val="multilevel"/>
    <w:tmpl w:val="8DCADEC9"/>
    <w:lvl w:ilvl="0" w:tentative="0">
      <w:start w:val="1"/>
      <w:numFmt w:val="decimal"/>
      <w:suff w:val="nothing"/>
      <w:lvlText w:val="%1"/>
      <w:lvlJc w:val="center"/>
      <w:pPr>
        <w:ind w:left="425" w:hanging="425"/>
      </w:pPr>
      <w:rPr>
        <w:rFonts w:hint="default" w:ascii="Times New Roman" w:hAnsi="Times New Roman" w:eastAsia="黑体"/>
        <w:b w:val="0"/>
        <w:i w:val="0"/>
        <w:color w:val="auto"/>
        <w:sz w:val="30"/>
        <w:u w:val="none"/>
      </w:rPr>
    </w:lvl>
    <w:lvl w:ilvl="1" w:tentative="0">
      <w:start w:val="1"/>
      <w:numFmt w:val="decimal"/>
      <w:suff w:val="nothing"/>
      <w:lvlText w:val="%1.%2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snapToGrid w:val="0"/>
        <w:vanish w:val="0"/>
        <w:color w:val="000000"/>
        <w:spacing w:val="0"/>
        <w:w w:val="0"/>
        <w:position w:val="0"/>
        <w:sz w:val="0"/>
        <w:szCs w:val="0"/>
        <w:u w:val="none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tl">
          <w14:srgbClr w14:val="000000"/>
        </w14:shadow>
        <w14:reflection w14:blurRad="0" w14:stA="0" w14:stPos="0" w14:endA="0" w14:endPos="0" w14:dist="0" w14:dir="0" w14:fadeDir="0" w14:sx="0" w14:sy="0" w14:kx="0" w14:ky="0" w14:algn="tl"/>
        <w14:props3d w14:extrusionH="0" w14:contourW="0" w14:prstMaterial="clear"/>
        <w14:ligatures w14:val="none"/>
        <w14:numForm w14:val="default"/>
        <w14:numSpacing w14:val="default"/>
      </w:rPr>
    </w:lvl>
    <w:lvl w:ilvl="2" w:tentative="0">
      <w:start w:val="1"/>
      <w:numFmt w:val="decimal"/>
      <w:suff w:val="nothing"/>
      <w:lvlText w:val="%1.%2.%3"/>
      <w:lvlJc w:val="left"/>
      <w:pPr>
        <w:ind w:left="425" w:hanging="425"/>
      </w:pPr>
      <w:rPr>
        <w:rFonts w:hint="default" w:ascii="仿宋" w:hAnsi="仿宋" w:eastAsia="仿宋" w:cs="仿宋"/>
        <w:b/>
        <w:i w:val="0"/>
        <w:sz w:val="24"/>
      </w:rPr>
    </w:lvl>
    <w:lvl w:ilvl="3" w:tentative="0">
      <w:start w:val="1"/>
      <w:numFmt w:val="decimal"/>
      <w:pStyle w:val="5"/>
      <w:suff w:val="nothing"/>
      <w:lvlText w:val="%1.%2.%3.%4"/>
      <w:lvlJc w:val="left"/>
      <w:pPr>
        <w:ind w:left="425" w:hanging="425"/>
      </w:pPr>
      <w:rPr>
        <w:rFonts w:hint="default" w:ascii="Times New Roman" w:hAnsi="Times New Roman" w:eastAsia="黑体"/>
        <w:b/>
        <w:i w:val="0"/>
        <w:sz w:val="21"/>
      </w:rPr>
    </w:lvl>
    <w:lvl w:ilvl="4" w:tentative="0">
      <w:start w:val="1"/>
      <w:numFmt w:val="decimal"/>
      <w:suff w:val="nothing"/>
      <w:lvlText w:val="%1.%2.%3.%4.%5"/>
      <w:lvlJc w:val="left"/>
      <w:pPr>
        <w:ind w:left="985" w:hanging="425"/>
      </w:pPr>
      <w:rPr>
        <w:rFonts w:hint="default" w:ascii="Times New Roman" w:hAnsi="Times New Roman"/>
        <w:b/>
        <w:i w:val="0"/>
        <w:sz w:val="21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default" w:ascii="Times New Roman" w:hAnsi="Times New Roman" w:eastAsia="宋体"/>
        <w:b/>
        <w:i w:val="0"/>
        <w:sz w:val="21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40C77C71"/>
    <w:multiLevelType w:val="singleLevel"/>
    <w:tmpl w:val="40C77C71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30F4492"/>
    <w:rsid w:val="0C6A7DA7"/>
    <w:rsid w:val="18B9619D"/>
    <w:rsid w:val="193449EF"/>
    <w:rsid w:val="1F8D3BA5"/>
    <w:rsid w:val="23A9040D"/>
    <w:rsid w:val="2725114A"/>
    <w:rsid w:val="297D4824"/>
    <w:rsid w:val="298721D9"/>
    <w:rsid w:val="32A72670"/>
    <w:rsid w:val="439C1036"/>
    <w:rsid w:val="466C691A"/>
    <w:rsid w:val="476242D5"/>
    <w:rsid w:val="4B9E7988"/>
    <w:rsid w:val="52D23572"/>
    <w:rsid w:val="65696C01"/>
    <w:rsid w:val="6D370670"/>
    <w:rsid w:val="6D66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2"/>
      </w:numPr>
      <w:spacing w:before="50" w:after="50" w:line="300" w:lineRule="auto"/>
      <w:outlineLvl w:val="3"/>
    </w:pPr>
    <w:rPr>
      <w:rFonts w:eastAsia="仿宋_GB2312" w:cstheme="majorBidi"/>
      <w:bCs/>
      <w:sz w:val="30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0"/>
    <w:pPr>
      <w:spacing w:after="120"/>
    </w:pPr>
    <w:rPr>
      <w:rFonts w:ascii="Calibri" w:hAnsi="Calibri" w:cs="Times New Roman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paragraph" w:customStyle="1" w:styleId="10">
    <w:name w:val="样式1"/>
    <w:basedOn w:val="1"/>
    <w:qFormat/>
    <w:uiPriority w:val="99"/>
    <w:rPr>
      <w:rFonts w:eastAsia="仿宋_GB2312"/>
      <w:sz w:val="32"/>
    </w:rPr>
  </w:style>
  <w:style w:type="paragraph" w:customStyle="1" w:styleId="11">
    <w:name w:val="首缩正文"/>
    <w:basedOn w:val="1"/>
    <w:qFormat/>
    <w:uiPriority w:val="0"/>
    <w:pPr>
      <w:spacing w:line="600" w:lineRule="exact"/>
      <w:ind w:firstLine="200"/>
    </w:p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标题 3 Char"/>
    <w:link w:val="4"/>
    <w:qFormat/>
    <w:uiPriority w:val="0"/>
    <w:rPr>
      <w:b/>
      <w:sz w:val="32"/>
    </w:rPr>
  </w:style>
  <w:style w:type="paragraph" w:customStyle="1" w:styleId="14">
    <w:name w:val="ds-markdown-paragraph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1810</Words>
  <Characters>1895</Characters>
  <Lines>0</Lines>
  <Paragraphs>0</Paragraphs>
  <TotalTime>1</TotalTime>
  <ScaleCrop>false</ScaleCrop>
  <LinksUpToDate>false</LinksUpToDate>
  <CharactersWithSpaces>1930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倪凌</cp:lastModifiedBy>
  <dcterms:modified xsi:type="dcterms:W3CDTF">2026-06-18T00:08:02Z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301C632969DA420D838454F0BAFFD6C3_13</vt:lpwstr>
  </property>
  <property fmtid="{D5CDD505-2E9C-101B-9397-08002B2CF9AE}" pid="4" name="KSOTemplateDocerSaveRecord">
    <vt:lpwstr>eyJoZGlkIjoiNzk0ZTk0MjFlZTQ0YWFhNmNhNjViMjQ0ZmE4NGIwOGMiLCJ1c2VySWQiOiI1NjY0NTU2MTAifQ==</vt:lpwstr>
  </property>
</Properties>
</file>