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60256">
      <w:pPr>
        <w:pStyle w:val="15"/>
      </w:pPr>
      <mc:AlternateContent>
        <mc:Choice Requires="wpsCustomData">
          <wpsCustomData:docfieldStart id="0" docfieldname="标题_1" hidden="0" print="1" readonly="0" index="4"/>
        </mc:Choice>
      </mc:AlternateContent>
      <w:r>
        <w:t>江苏省第二中医院</w:t>
      </w:r>
    </w:p>
    <w:p w14:paraId="1FC81766">
      <w:pPr>
        <w:pStyle w:val="15"/>
      </w:pPr>
      <w:r>
        <w:t>运营发展及绩效改革专项调研</w:t>
      </w:r>
      <mc:AlternateContent>
        <mc:Choice Requires="wpsCustomData">
          <wpsCustomData:docfieldEnd id="0"/>
        </mc:Choice>
      </mc:AlternateContent>
    </w:p>
    <w:p w14:paraId="7B920A31">
      <w:pPr>
        <w:pStyle w:val="11"/>
        <w:bidi w:val="0"/>
        <w:spacing w:beforeAutospacing="0" w:afterAutospacing="0" w:line="300" w:lineRule="exact"/>
      </w:pPr>
    </w:p>
    <w:p w14:paraId="355826FC">
      <w:pPr>
        <w:pStyle w:val="19"/>
        <w:rPr>
          <w:rFonts w:ascii="Times New Roman" w:hAnsi="Times New Roman" w:eastAsia="仿宋_GB2312" w:cs="仿宋_GB2312"/>
          <w:sz w:val="32"/>
          <w:szCs w:val="32"/>
        </w:rPr>
      </w:pPr>
      <mc:AlternateContent>
        <mc:Choice Requires="wpsCustomData">
          <wpsCustomData:docfieldStart id="1" docfieldname="主送机关_1" hidden="0" print="1" readonly="0" index="5"/>
        </mc:Choice>
      </mc:AlternateContent>
      <w:r>
        <w:rPr>
          <w:rFonts w:ascii="Times New Roman" w:hAnsi="Times New Roman" w:eastAsia="仿宋_GB2312" w:cs="仿宋_GB2312"/>
          <w:sz w:val="32"/>
          <w:szCs w:val="32"/>
        </w:rPr>
        <w:t>各医院管理咨询服务机构</w:t>
      </w:r>
      <mc:AlternateContent>
        <mc:Choice Requires="wpsCustomData">
          <wpsCustomData:docfieldEnd id="1"/>
        </mc:Choice>
      </mc:AlternateContent>
      <w:r>
        <w:rPr>
          <w:rFonts w:ascii="Times New Roman" w:hAnsi="Times New Roman" w:eastAsia="仿宋_GB2312" w:cs="仿宋_GB2312"/>
          <w:sz w:val="32"/>
          <w:szCs w:val="32"/>
        </w:rPr>
        <w:t>：</w:t>
      </w:r>
    </w:p>
    <w:p w14:paraId="622BFE03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为</w:t>
      </w:r>
      <w:r>
        <w:rPr>
          <w:rFonts w:hint="eastAsia" w:cs="仿宋_GB2312"/>
          <w:color w:val="000000"/>
          <w:sz w:val="32"/>
          <w:szCs w:val="32"/>
          <w:lang w:val="en-US" w:eastAsia="zh-CN"/>
        </w:rPr>
        <w:t>推动医院高质量发展</w:t>
      </w:r>
      <w:r>
        <w:rPr>
          <w:rFonts w:ascii="Times New Roman" w:hAnsi="Times New Roman" w:eastAsia="仿宋_GB2312" w:cs="仿宋_GB2312"/>
          <w:sz w:val="32"/>
          <w:szCs w:val="32"/>
        </w:rPr>
        <w:t>，适配医保 DRG 付费改革，衔接医院 “十五五” 发展规划，</w:t>
      </w:r>
      <w:r>
        <w:rPr>
          <w:rFonts w:hint="eastAsia" w:cs="仿宋_GB2312"/>
          <w:sz w:val="32"/>
          <w:szCs w:val="32"/>
          <w:lang w:val="en-US" w:eastAsia="zh-CN"/>
        </w:rPr>
        <w:t>全面提升医院服务能力</w:t>
      </w:r>
      <w:r>
        <w:rPr>
          <w:rFonts w:ascii="Times New Roman" w:hAnsi="Times New Roman" w:eastAsia="仿宋_GB2312" w:cs="仿宋_GB2312"/>
          <w:sz w:val="32"/>
          <w:szCs w:val="32"/>
        </w:rPr>
        <w:t>，</w:t>
      </w:r>
      <w:r>
        <w:rPr>
          <w:rFonts w:hint="eastAsia" w:cs="仿宋_GB2312"/>
          <w:sz w:val="32"/>
          <w:szCs w:val="32"/>
          <w:lang w:val="en-US" w:eastAsia="zh-CN"/>
        </w:rPr>
        <w:t>医院</w:t>
      </w:r>
      <w:r>
        <w:rPr>
          <w:rFonts w:ascii="Times New Roman" w:hAnsi="Times New Roman" w:eastAsia="仿宋_GB2312" w:cs="仿宋_GB2312"/>
          <w:sz w:val="32"/>
          <w:szCs w:val="32"/>
        </w:rPr>
        <w:t>拟引进第三方机构提供发展战略、运营管理、绩效改革全流程服务，现面向专业机构开展调研，有关事项函告如下：</w:t>
      </w:r>
    </w:p>
    <w:p w14:paraId="143FB414">
      <w:pPr>
        <w:pStyle w:val="2"/>
        <w:numPr>
          <w:numId w:val="0"/>
        </w:numPr>
        <w:topLinePunct w:val="0"/>
        <w:ind w:left="0" w:leftChars="0" w:firstLine="640"/>
        <w:rPr>
          <w:b w:val="0"/>
          <w:bdr w:val="none" w:sz="0" w:space="0"/>
        </w:rPr>
      </w:pPr>
      <w:r>
        <w:rPr>
          <w:rFonts w:hint="eastAsia"/>
          <w:lang w:eastAsia="zh-CN"/>
        </w:rPr>
        <w:t>一、</w:t>
      </w:r>
      <w:r>
        <w:t>调研目的</w:t>
      </w:r>
      <w:bookmarkStart w:id="0" w:name="_GoBack"/>
      <w:bookmarkEnd w:id="0"/>
    </w:p>
    <w:p w14:paraId="47A31AF8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cs="仿宋_GB2312"/>
          <w:sz w:val="32"/>
          <w:szCs w:val="32"/>
          <w:lang w:val="en-US" w:eastAsia="zh-CN"/>
        </w:rPr>
        <w:t>1、</w:t>
      </w:r>
      <w:r>
        <w:rPr>
          <w:rFonts w:ascii="Times New Roman" w:hAnsi="Times New Roman" w:eastAsia="仿宋_GB2312" w:cs="仿宋_GB2312"/>
          <w:sz w:val="32"/>
          <w:szCs w:val="32"/>
        </w:rPr>
        <w:t>评估机构对公立医院、中医药发展、DRG 支付改革、国</w:t>
      </w:r>
      <w:r>
        <w:rPr>
          <w:rFonts w:hint="eastAsia" w:cs="仿宋_GB2312"/>
          <w:sz w:val="32"/>
          <w:szCs w:val="32"/>
          <w:lang w:val="en-US" w:eastAsia="zh-CN"/>
        </w:rPr>
        <w:t>家</w:t>
      </w:r>
      <w:r>
        <w:rPr>
          <w:rFonts w:ascii="Times New Roman" w:hAnsi="Times New Roman" w:eastAsia="仿宋_GB2312" w:cs="仿宋_GB2312"/>
          <w:sz w:val="32"/>
          <w:szCs w:val="32"/>
        </w:rPr>
        <w:t>绩效</w:t>
      </w:r>
      <w:r>
        <w:rPr>
          <w:rFonts w:hint="eastAsia" w:cs="仿宋_GB2312"/>
          <w:sz w:val="32"/>
          <w:szCs w:val="32"/>
          <w:lang w:val="en-US" w:eastAsia="zh-CN"/>
        </w:rPr>
        <w:t>监测</w:t>
      </w:r>
      <w:r>
        <w:rPr>
          <w:rFonts w:ascii="Times New Roman" w:hAnsi="Times New Roman" w:eastAsia="仿宋_GB2312" w:cs="仿宋_GB2312"/>
          <w:sz w:val="32"/>
          <w:szCs w:val="32"/>
        </w:rPr>
        <w:t>等政策的理解与研判能力；</w:t>
      </w:r>
    </w:p>
    <w:p w14:paraId="20DBFE63">
      <w:pPr>
        <w:pStyle w:val="11"/>
        <w:ind w:left="0" w:leftChars="0" w:firstLine="616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cs="仿宋_GB2312"/>
          <w:sz w:val="32"/>
          <w:szCs w:val="32"/>
          <w:lang w:val="en-US" w:eastAsia="zh-CN"/>
        </w:rPr>
        <w:t>2、</w:t>
      </w:r>
      <w:r>
        <w:rPr>
          <w:rFonts w:ascii="Times New Roman" w:hAnsi="Times New Roman" w:eastAsia="仿宋_GB2312" w:cs="仿宋_GB2312"/>
          <w:sz w:val="32"/>
          <w:szCs w:val="32"/>
        </w:rPr>
        <w:t>考察机构为中医医院定制中长期运营规划、成本管控、医保精细化管理的方案设计与实操能力；</w:t>
      </w:r>
    </w:p>
    <w:p w14:paraId="46031F19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cs="仿宋_GB2312"/>
          <w:sz w:val="32"/>
          <w:szCs w:val="32"/>
          <w:lang w:val="en-US" w:eastAsia="zh-CN"/>
        </w:rPr>
        <w:t>3、</w:t>
      </w:r>
      <w:r>
        <w:rPr>
          <w:rFonts w:ascii="Times New Roman" w:hAnsi="Times New Roman" w:eastAsia="仿宋_GB2312" w:cs="仿宋_GB2312"/>
          <w:sz w:val="32"/>
          <w:szCs w:val="32"/>
        </w:rPr>
        <w:t>重点核查 RBRVS 绩效向 DRG 导向绩效体系转型的整体方案、落地经验及同类中医院成功案例；</w:t>
      </w:r>
    </w:p>
    <w:p w14:paraId="748D15D7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cs="仿宋_GB2312"/>
          <w:sz w:val="32"/>
          <w:szCs w:val="32"/>
          <w:lang w:val="en-US" w:eastAsia="zh-CN"/>
        </w:rPr>
        <w:t>4、</w:t>
      </w:r>
      <w:r>
        <w:rPr>
          <w:rFonts w:ascii="Times New Roman" w:hAnsi="Times New Roman" w:eastAsia="仿宋_GB2312" w:cs="仿宋_GB2312"/>
          <w:sz w:val="32"/>
          <w:szCs w:val="32"/>
        </w:rPr>
        <w:t>筛选售后体系完善、服务响应高效、可长期配套运维的合作机构。</w:t>
      </w:r>
    </w:p>
    <w:p w14:paraId="65F20E0D">
      <w:pPr>
        <w:pStyle w:val="2"/>
        <w:numPr>
          <w:numId w:val="0"/>
        </w:numPr>
        <w:topLinePunct w:val="0"/>
        <w:ind w:left="0" w:leftChars="0" w:firstLine="640"/>
        <w:rPr>
          <w:b w:val="0"/>
          <w:bdr w:val="none" w:sz="0" w:space="0"/>
        </w:rPr>
      </w:pPr>
      <w:r>
        <w:rPr>
          <w:rFonts w:hint="eastAsia"/>
          <w:lang w:eastAsia="zh-CN"/>
        </w:rPr>
        <w:t>二、</w:t>
      </w:r>
      <w:r>
        <w:t>调研主要内容</w:t>
      </w:r>
    </w:p>
    <w:p w14:paraId="2BD79897">
      <w:pPr>
        <w:pStyle w:val="3"/>
        <w:numPr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  <w:bdr w:val="none" w:sz="0" w:space="0"/>
        </w:rPr>
      </w:pPr>
      <w:r>
        <w:rPr>
          <w:rFonts w:hint="eastAsia"/>
          <w:lang w:eastAsia="zh-CN"/>
        </w:rPr>
        <w:t>（一）</w:t>
      </w:r>
      <w:r>
        <w:t>医院发展规划与运营管理</w:t>
      </w:r>
    </w:p>
    <w:p w14:paraId="17845E71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cs="仿宋_GB2312"/>
          <w:sz w:val="32"/>
          <w:szCs w:val="32"/>
          <w:lang w:val="en-US" w:eastAsia="zh-CN"/>
        </w:rPr>
        <w:t>1、</w:t>
      </w:r>
      <w:r>
        <w:rPr>
          <w:rFonts w:ascii="Times New Roman" w:hAnsi="Times New Roman" w:eastAsia="仿宋_GB2312" w:cs="仿宋_GB2312"/>
          <w:sz w:val="32"/>
          <w:szCs w:val="32"/>
        </w:rPr>
        <w:t>结合</w:t>
      </w:r>
      <w:r>
        <w:rPr>
          <w:rFonts w:hint="eastAsia" w:cs="仿宋_GB2312"/>
          <w:color w:val="000000"/>
          <w:sz w:val="32"/>
          <w:szCs w:val="32"/>
          <w:lang w:val="en-US" w:eastAsia="zh-CN"/>
        </w:rPr>
        <w:t>我院发展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val="en-US" w:eastAsia="zh-CN"/>
        </w:rPr>
        <w:t>实际</w:t>
      </w:r>
      <w:r>
        <w:rPr>
          <w:rFonts w:ascii="Times New Roman" w:hAnsi="Times New Roman" w:eastAsia="仿宋_GB2312" w:cs="仿宋_GB2312"/>
          <w:sz w:val="32"/>
          <w:szCs w:val="32"/>
        </w:rPr>
        <w:t>与区域医疗现状，围绕 “十五五” 规划，解读行业政策，提出中长期运营提质增效思路；</w:t>
      </w:r>
    </w:p>
    <w:p w14:paraId="2DE653EF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cs="仿宋_GB2312"/>
          <w:sz w:val="32"/>
          <w:szCs w:val="32"/>
          <w:lang w:val="en-US" w:eastAsia="zh-CN"/>
        </w:rPr>
        <w:t>2、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聚焦</w:t>
      </w:r>
      <w:r>
        <w:rPr>
          <w:rFonts w:hint="eastAsia" w:cs="仿宋_GB2312"/>
          <w:color w:val="000000"/>
          <w:sz w:val="32"/>
          <w:szCs w:val="32"/>
          <w:lang w:val="en-US" w:eastAsia="zh-CN"/>
        </w:rPr>
        <w:t>国家绩效监测、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中医</w:t>
      </w:r>
      <w:r>
        <w:rPr>
          <w:rFonts w:hint="eastAsia" w:cs="仿宋_GB2312"/>
          <w:color w:val="000000"/>
          <w:sz w:val="32"/>
          <w:szCs w:val="32"/>
          <w:lang w:val="en-US" w:eastAsia="zh-CN"/>
        </w:rPr>
        <w:t>优势专科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建设、</w:t>
      </w:r>
      <w:r>
        <w:rPr>
          <w:rFonts w:hint="eastAsia" w:cs="仿宋_GB2312"/>
          <w:color w:val="000000"/>
          <w:sz w:val="32"/>
          <w:szCs w:val="32"/>
          <w:lang w:val="en-US" w:eastAsia="zh-CN"/>
        </w:rPr>
        <w:t>中医药特色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发展、运营</w:t>
      </w:r>
      <w:r>
        <w:rPr>
          <w:rFonts w:hint="eastAsia" w:cs="仿宋_GB2312"/>
          <w:color w:val="000000"/>
          <w:sz w:val="32"/>
          <w:szCs w:val="32"/>
          <w:lang w:val="en-US" w:eastAsia="zh-CN"/>
        </w:rPr>
        <w:t>管理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、成本管控、医保精细化管理、风险防控等</w:t>
      </w:r>
      <w:r>
        <w:rPr>
          <w:rFonts w:hint="eastAsia" w:cs="仿宋_GB2312"/>
          <w:color w:val="000000"/>
          <w:sz w:val="32"/>
          <w:szCs w:val="32"/>
          <w:lang w:eastAsia="zh-CN"/>
        </w:rPr>
        <w:t>重点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领域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，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分享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成熟</w:t>
      </w:r>
      <w:r>
        <w:rPr>
          <w:rFonts w:hint="eastAsia" w:ascii="Times New Roman" w:hAnsi="Times New Roman" w:cs="仿宋_GB2312"/>
          <w:color w:val="000000"/>
          <w:sz w:val="32"/>
          <w:szCs w:val="32"/>
          <w:lang w:val="en-US" w:eastAsia="zh-CN"/>
        </w:rPr>
        <w:t>运营管理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经验与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实操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案例。</w:t>
      </w:r>
    </w:p>
    <w:p w14:paraId="4B7AD24B">
      <w:pPr>
        <w:pStyle w:val="3"/>
        <w:numPr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  <w:bdr w:val="none" w:sz="0" w:space="0"/>
        </w:rPr>
      </w:pPr>
      <w:r>
        <w:rPr>
          <w:rFonts w:hint="eastAsia"/>
          <w:lang w:eastAsia="zh-CN"/>
        </w:rPr>
        <w:t>（二）</w:t>
      </w:r>
      <w:r>
        <w:t>绩效改革咨询服务</w:t>
      </w:r>
    </w:p>
    <w:p w14:paraId="404BEBAE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hint="eastAsia" w:eastAsia="仿宋_GB2312"/>
          <w:lang w:eastAsia="zh-CN"/>
        </w:rPr>
      </w:pPr>
      <w:r>
        <w:rPr>
          <w:rFonts w:hint="eastAsia" w:cs="仿宋_GB2312"/>
          <w:color w:val="000000"/>
          <w:sz w:val="32"/>
          <w:szCs w:val="32"/>
          <w:lang w:val="en-US" w:eastAsia="zh-CN"/>
        </w:rPr>
        <w:t>围绕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val="en-US" w:eastAsia="zh-CN"/>
        </w:rPr>
        <w:t>我院现行RBRVS按项目核算绩效模式</w:t>
      </w:r>
      <w:r>
        <w:rPr>
          <w:rFonts w:hint="eastAsia" w:cs="仿宋_GB2312"/>
          <w:color w:val="000000"/>
          <w:sz w:val="32"/>
          <w:szCs w:val="32"/>
          <w:lang w:val="en-US" w:eastAsia="zh-CN"/>
        </w:rPr>
        <w:t>所显现的矛盾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val="en-US" w:eastAsia="zh-CN"/>
        </w:rPr>
        <w:t xml:space="preserve">，本次重点调研以下内容：  </w:t>
      </w:r>
    </w:p>
    <w:p w14:paraId="5A8A5CA4">
      <w:pPr>
        <w:pStyle w:val="11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616"/>
        <w:rPr>
          <w:rFonts w:hint="eastAsia" w:eastAsia="仿宋_GB2312"/>
          <w:lang w:eastAsia="zh-CN"/>
        </w:rPr>
      </w:pPr>
      <w:r>
        <w:rPr>
          <w:rFonts w:hint="eastAsia" w:cs="仿宋_GB2312"/>
          <w:color w:val="000000"/>
          <w:sz w:val="32"/>
          <w:szCs w:val="32"/>
          <w:lang w:eastAsia="zh-CN"/>
        </w:rPr>
        <w:t>1、</w:t>
      </w:r>
      <w:r>
        <w:rPr>
          <w:rStyle w:val="18"/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  <w:lang w:eastAsia="zh-CN"/>
        </w:rPr>
        <w:t>RBRVS</w:t>
      </w:r>
      <w:r>
        <w:rPr>
          <w:rStyle w:val="18"/>
          <w:rFonts w:hint="eastAsia" w:cs="仿宋_GB2312"/>
          <w:b w:val="0"/>
          <w:bCs w:val="0"/>
          <w:color w:val="000000"/>
          <w:sz w:val="32"/>
          <w:szCs w:val="32"/>
          <w:lang w:val="en-US" w:eastAsia="zh-CN"/>
        </w:rPr>
        <w:t>按项目核算</w:t>
      </w:r>
      <w:r>
        <w:rPr>
          <w:rStyle w:val="18"/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向DRG</w:t>
      </w:r>
      <w:r>
        <w:rPr>
          <w:rStyle w:val="18"/>
          <w:rFonts w:hint="eastAsia" w:cs="仿宋_GB2312"/>
          <w:b w:val="0"/>
          <w:bCs w:val="0"/>
          <w:color w:val="000000"/>
          <w:sz w:val="32"/>
          <w:szCs w:val="32"/>
          <w:lang w:val="en-US" w:eastAsia="zh-CN"/>
        </w:rPr>
        <w:t>按病组付费</w:t>
      </w:r>
      <w:r>
        <w:rPr>
          <w:rStyle w:val="18"/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导向绩效体系转型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的整体设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val="en-US" w:eastAsia="zh-CN"/>
        </w:rPr>
        <w:t xml:space="preserve">计思路、实施路径及解决方案；  </w:t>
      </w:r>
    </w:p>
    <w:p w14:paraId="429293E6">
      <w:pPr>
        <w:pStyle w:val="11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616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cs="仿宋_GB2312"/>
          <w:color w:val="000000"/>
          <w:sz w:val="32"/>
          <w:szCs w:val="32"/>
          <w:lang w:eastAsia="zh-CN"/>
        </w:rPr>
        <w:t>2、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构建科学激励机制，实现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绩效分配向中医适宜技术、特色疗法、疑难重症、三四级手术等高价值服务方向倾斜；</w:t>
      </w:r>
    </w:p>
    <w:p w14:paraId="117CE131">
      <w:pPr>
        <w:pStyle w:val="11"/>
        <w:rPr>
          <w:rFonts w:hint="eastAsia" w:ascii="Times New Roman" w:hAnsi="Times New Roman" w:eastAsia="仿宋_GB2312" w:cs="仿宋_GB2312"/>
          <w:color w:val="000000"/>
          <w:sz w:val="32"/>
          <w:szCs w:val="32"/>
        </w:rPr>
      </w:pPr>
      <w:r>
        <w:rPr>
          <w:rFonts w:hint="eastAsia" w:cs="仿宋_GB2312"/>
          <w:color w:val="000000"/>
          <w:sz w:val="32"/>
          <w:szCs w:val="32"/>
          <w:lang w:eastAsia="zh-CN"/>
        </w:rPr>
        <w:t>3、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将医疗质量、成本控制、医保结算率、中医特色服务（如中药处方占比、中医非药物疗法、中医优势病种疗效等）纳入绩效考核体系，切实落实优绩优酬分配原则；</w:t>
      </w:r>
    </w:p>
    <w:p w14:paraId="2EB22434">
      <w:pPr>
        <w:pStyle w:val="11"/>
        <w:rPr>
          <w:rFonts w:ascii="Times New Roman" w:hAnsi="Times New Roman" w:eastAsia="仿宋_GB2312" w:cs="仿宋_GB2312"/>
          <w:color w:val="000000"/>
          <w:sz w:val="32"/>
          <w:szCs w:val="32"/>
        </w:rPr>
      </w:pPr>
      <w:r>
        <w:rPr>
          <w:rFonts w:hint="eastAsia" w:cs="仿宋_GB2312"/>
          <w:color w:val="000000"/>
          <w:sz w:val="32"/>
          <w:szCs w:val="32"/>
          <w:lang w:eastAsia="zh-CN"/>
        </w:rPr>
        <w:t>4、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绩效系统改造、数据</w:t>
      </w:r>
      <w:r>
        <w:rPr>
          <w:rFonts w:hint="eastAsia" w:cs="仿宋_GB2312"/>
          <w:color w:val="000000"/>
          <w:sz w:val="32"/>
          <w:szCs w:val="32"/>
          <w:lang w:val="en-US" w:eastAsia="zh-CN"/>
        </w:rPr>
        <w:t>对接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、人员适配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与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落地保障等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配套措施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，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并提供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同类中医医院改革案例</w:t>
      </w:r>
      <w:r>
        <w:rPr>
          <w:rFonts w:hint="eastAsia" w:cs="仿宋_GB2312"/>
          <w:color w:val="000000"/>
          <w:sz w:val="32"/>
          <w:szCs w:val="32"/>
          <w:lang w:eastAsia="zh-CN"/>
        </w:rPr>
        <w:t>参考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。</w:t>
      </w:r>
    </w:p>
    <w:p w14:paraId="53A69663">
      <w:pPr>
        <w:pStyle w:val="3"/>
        <w:numPr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  <w:bdr w:val="none" w:sz="0" w:space="0"/>
        </w:rPr>
      </w:pPr>
      <w:r>
        <w:rPr>
          <w:rFonts w:hint="eastAsia"/>
          <w:lang w:eastAsia="zh-CN"/>
        </w:rPr>
        <w:t>（三）</w:t>
      </w:r>
      <w:r>
        <w:t>项目实施保障</w:t>
      </w:r>
    </w:p>
    <w:p w14:paraId="0C17DDF7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cs="仿宋_GB2312"/>
          <w:sz w:val="32"/>
          <w:szCs w:val="32"/>
          <w:lang w:val="en-US" w:eastAsia="zh-CN"/>
        </w:rPr>
        <w:t>1、</w:t>
      </w:r>
      <w:r>
        <w:rPr>
          <w:rFonts w:ascii="Times New Roman" w:hAnsi="Times New Roman" w:eastAsia="仿宋_GB2312" w:cs="仿宋_GB2312"/>
          <w:sz w:val="32"/>
          <w:szCs w:val="32"/>
        </w:rPr>
        <w:t>项目驻场专家、技术团队配置情况；</w:t>
      </w:r>
    </w:p>
    <w:p w14:paraId="1FADD750">
      <w:pPr>
        <w:pStyle w:val="11"/>
        <w:ind w:left="0" w:leftChars="0" w:firstLine="616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cs="仿宋_GB2312"/>
          <w:sz w:val="32"/>
          <w:szCs w:val="32"/>
          <w:lang w:val="en-US" w:eastAsia="zh-CN"/>
        </w:rPr>
        <w:t>2、</w:t>
      </w:r>
      <w:r>
        <w:rPr>
          <w:rFonts w:ascii="Times New Roman" w:hAnsi="Times New Roman" w:eastAsia="仿宋_GB2312" w:cs="仿宋_GB2312"/>
          <w:sz w:val="32"/>
          <w:szCs w:val="32"/>
        </w:rPr>
        <w:t>完整交付成果、项目实施周期与验收标准。</w:t>
      </w:r>
    </w:p>
    <w:p w14:paraId="4E84B58F">
      <w:pPr>
        <w:pStyle w:val="2"/>
        <w:numPr>
          <w:numId w:val="0"/>
        </w:numPr>
        <w:topLinePunct w:val="0"/>
        <w:ind w:left="0" w:leftChars="0" w:firstLine="640"/>
        <w:rPr>
          <w:b w:val="0"/>
          <w:bdr w:val="none" w:sz="0" w:space="0"/>
        </w:rPr>
      </w:pPr>
      <w:r>
        <w:rPr>
          <w:rFonts w:hint="eastAsia"/>
          <w:lang w:eastAsia="zh-CN"/>
        </w:rPr>
        <w:t>三、</w:t>
      </w:r>
      <w:r>
        <w:t>需提交调研材料</w:t>
      </w:r>
    </w:p>
    <w:p w14:paraId="3F7393D3">
      <w:pPr>
        <w:pStyle w:val="11"/>
        <w:ind w:left="0" w:leftChars="0" w:firstLine="616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cs="仿宋_GB2312"/>
          <w:sz w:val="32"/>
          <w:szCs w:val="32"/>
          <w:lang w:val="en-US" w:eastAsia="zh-CN"/>
        </w:rPr>
        <w:t>1、</w:t>
      </w:r>
      <w:r>
        <w:rPr>
          <w:rFonts w:ascii="Times New Roman" w:hAnsi="Times New Roman" w:eastAsia="仿宋_GB2312" w:cs="仿宋_GB2312"/>
          <w:sz w:val="32"/>
          <w:szCs w:val="32"/>
        </w:rPr>
        <w:t>机构营业执照、核心团队专业履历等资质材料；</w:t>
      </w:r>
    </w:p>
    <w:p w14:paraId="7627E5FA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cs="仿宋_GB2312"/>
          <w:sz w:val="32"/>
          <w:szCs w:val="32"/>
          <w:lang w:val="en-US" w:eastAsia="zh-CN"/>
        </w:rPr>
        <w:t>2、</w:t>
      </w:r>
      <w:r>
        <w:rPr>
          <w:rFonts w:ascii="Times New Roman" w:hAnsi="Times New Roman" w:eastAsia="仿宋_GB2312" w:cs="仿宋_GB2312"/>
          <w:sz w:val="32"/>
          <w:szCs w:val="32"/>
        </w:rPr>
        <w:t>近三年医院运营、DRG 绩效改革服务业绩、验收证明；</w:t>
      </w:r>
    </w:p>
    <w:p w14:paraId="62CD866A">
      <w:pPr>
        <w:pStyle w:val="11"/>
        <w:ind w:left="0" w:leftChars="0" w:firstLine="616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cs="仿宋_GB2312"/>
          <w:sz w:val="32"/>
          <w:szCs w:val="32"/>
          <w:lang w:val="en-US" w:eastAsia="zh-CN"/>
        </w:rPr>
        <w:t>3、</w:t>
      </w:r>
      <w:r>
        <w:rPr>
          <w:rFonts w:ascii="Times New Roman" w:hAnsi="Times New Roman" w:eastAsia="仿宋_GB2312" w:cs="仿宋_GB2312"/>
          <w:sz w:val="32"/>
          <w:szCs w:val="32"/>
        </w:rPr>
        <w:t>针对我院实际情况的初步服务思路；</w:t>
      </w:r>
    </w:p>
    <w:p w14:paraId="262A0103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cs="仿宋_GB2312"/>
          <w:sz w:val="32"/>
          <w:szCs w:val="32"/>
          <w:lang w:val="en-US" w:eastAsia="zh-CN"/>
        </w:rPr>
        <w:t>4、服务周期、团队配置、售后保障方案</w:t>
      </w:r>
      <w:r>
        <w:rPr>
          <w:rFonts w:ascii="Times New Roman" w:hAnsi="Times New Roman" w:eastAsia="仿宋_GB2312" w:cs="仿宋_GB2312"/>
          <w:sz w:val="32"/>
          <w:szCs w:val="32"/>
        </w:rPr>
        <w:t>、响应机制</w:t>
      </w:r>
      <w:r>
        <w:rPr>
          <w:rFonts w:hint="eastAsia" w:cs="仿宋_GB2312"/>
          <w:sz w:val="32"/>
          <w:szCs w:val="32"/>
          <w:lang w:val="en-US" w:eastAsia="zh-CN"/>
        </w:rPr>
        <w:t>等</w:t>
      </w:r>
      <w:r>
        <w:rPr>
          <w:rFonts w:ascii="Times New Roman" w:hAnsi="Times New Roman" w:eastAsia="仿宋_GB2312" w:cs="仿宋_GB2312"/>
          <w:sz w:val="32"/>
          <w:szCs w:val="32"/>
        </w:rPr>
        <w:t>。</w:t>
      </w:r>
    </w:p>
    <w:p w14:paraId="399E9209">
      <w:pPr>
        <w:pStyle w:val="11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5、报价参考：项目整体报价范围、费用构成说明（含咨询服务费、差旅费等全流程费用）</w:t>
      </w:r>
    </w:p>
    <w:p w14:paraId="6F80BC2E">
      <w:pPr>
        <w:pStyle w:val="2"/>
        <w:numPr>
          <w:numId w:val="0"/>
        </w:numPr>
        <w:topLinePunct w:val="0"/>
        <w:ind w:left="0" w:leftChars="0" w:firstLine="640"/>
        <w:rPr>
          <w:b w:val="0"/>
          <w:bdr w:val="none" w:sz="0" w:space="0"/>
        </w:rPr>
      </w:pPr>
      <w:r>
        <w:rPr>
          <w:rFonts w:hint="eastAsia"/>
          <w:lang w:val="en-US" w:eastAsia="zh-CN"/>
        </w:rPr>
        <w:t>四</w:t>
      </w:r>
      <w:r>
        <w:rPr>
          <w:rFonts w:hint="eastAsia"/>
          <w:lang w:eastAsia="zh-CN"/>
        </w:rPr>
        <w:t>、</w:t>
      </w:r>
      <w:r>
        <w:t>现场对接联系方式</w:t>
      </w:r>
    </w:p>
    <w:p w14:paraId="603FD13A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李老师：15952006601</w:t>
      </w:r>
    </w:p>
    <w:p w14:paraId="4B9EC4D7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苏老师：13222777716</w:t>
      </w:r>
    </w:p>
    <w:p w14:paraId="12423473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right="1142" w:rightChars="0" w:firstLine="0" w:firstLineChars="0"/>
        <w:jc w:val="right"/>
        <w:textAlignment w:val="auto"/>
        <w:rPr>
          <w:rFonts w:hint="eastAsia"/>
          <w:sz w:val="32"/>
          <w:szCs w:val="32"/>
          <w:lang w:val="en-US" w:eastAsia="zh-CN"/>
        </w:rPr>
      </w:pPr>
      <mc:AlternateContent>
        <mc:Choice Requires="wpsCustomData">
          <wpsCustomData:docfieldStart id="2" docfieldname="发文机关署名_1" hidden="0" print="1" readonly="0" index="11"/>
        </mc:Choice>
      </mc:AlternateContent>
      <w:r>
        <w:rPr>
          <w:rFonts w:hint="eastAsia"/>
          <w:sz w:val="32"/>
          <w:szCs w:val="32"/>
          <w:lang w:val="en-US" w:eastAsia="zh-CN"/>
        </w:rPr>
        <w:t>江苏省第二中医院</w:t>
      </w:r>
      <mc:AlternateContent>
        <mc:Choice Requires="wpsCustomData">
          <wpsCustomData:docfieldEnd id="2"/>
        </mc:Choice>
      </mc:AlternateContent>
      <mc:AlternateContent>
        <mc:Choice Requires="wpsCustomData">
          <wpsCustomData:docfieldStart id="3" docfieldname="成文日期_1" hidden="0" print="1" readonly="0" index="12"/>
        </mc:Choice>
      </mc:AlternateContent>
    </w:p>
    <w:p w14:paraId="5B7DD83D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right="1142" w:rightChars="0" w:firstLine="0" w:firstLineChars="0"/>
        <w:jc w:val="right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2026年06月18日</w:t>
      </w:r>
      <mc:AlternateContent>
        <mc:Choice Requires="wpsCustomData">
          <wpsCustomData:docfieldEnd id="3"/>
        </mc:Choice>
      </mc:AlternateContent>
    </w:p>
    <w:p w14:paraId="7FF30D10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</w:p>
    <w:p w14:paraId="29CA8003">
      <w:pPr>
        <w:pStyle w:val="11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</w:p>
    <w:p w14:paraId="43DA0942">
      <w:pPr>
        <w:pStyle w:val="11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华文中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var(--dsw-font-xxxs-strong-11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25B5D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5722A8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FW2BAriAgAALgYAAA4AAABkcnMvZTJvRG9jLnhtbK1UzW7b&#10;MAy+D9g7CLq7tlM3dYw6RRrXw4BgLdANOyuyHBuTJUFSfrph1+0Ndtpl9z1Xn2OUnJ+mG4YCWw4O&#10;RVIkv48ULy43HUcrpk0rRY7jkwgjJqisWrHI8bu3ZZBiZCwRFeFSsBzfM4Mvxy9fXKxVxgaykbxi&#10;GkEQYbK1ynFjrcrC0NCGdcScSMUEGGupO2LhqBdhpckaonc8HETRMFxLXSktKTMGtEVvxNuI+jkB&#10;ZV23lBWSLjsmbB9VM04sQDJNqwwe+2rrmlF7U9eGWcRzDEit/0ISkOfuG44vSLbQRDUt3ZZAnlPC&#10;E0wdaQUk3YcqiCVoqdvfQnUt1dLI2p5Q2YU9EM8IoIijJ9zcNUQxjwWoNmpPuvl/Yemb1a1GbQWT&#10;gJEgHTT84dvXh+8/H358QbGjZ61MBl53Cvzs5kpunOtWb0DpUG9q3bl/wIPADuTe78llG4uou5QO&#10;0jQCEwXb7gBxwsN1pY19xWSHnJBjDd3zpJLVzNjedefisglZtpyDnmRcoHWOh6dnkb+wt0BwLpwD&#10;VAExtlLfmU+jaHSdXqdJkAyG10ESFUUwKadJMCzj87PitJhOi/izixcnWdNWFRMu325K4uR5XdhO&#10;St/f/ZwYydvKhXMlGb2YT7lGKwJTWvqfYxiKf+QWHpfhzYDqCaR4kERXg1FQDtPzICmTs2B0HqVB&#10;FI+uRsMoGSVFeQxp1gr275CO2H9UNMlcw/bY5pzQD3+F5so5QAMGdo0L3Rz28+Yku5lvgCInzmV1&#10;D7OpZf+4jaJlC0lnxNhbouE1w8zBvrM38Km5hDmRWwmjRuqPf9I7f2gvWDFaw3bIsYBliBF/LeDx&#10;DaJT2GSwTfwJBH2knu/UYtlNJbQUnhZU5UXnbPlOrLXs3sM6nLhsYCKCQs4c2504tf2ugnVK2WTi&#10;nZZKt4umvwBLRBE7E3eKujR+mNRkaeFl+Adz4AdIdQdYI57e7cpze+rx2Xsd1vz4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AalSs7WAAAABgEAAA8AAAAAAAAAAQAgAAAAIgAAAGRycy9kb3ducmV2&#10;LnhtbFBLAQIUABQAAAAIAIdO4kBVtgQK4gIAAC4GAAAOAAAAAAAAAAEAIAAAACUBAABkcnMvZTJv&#10;RG9jLnhtbFBLBQYAAAAABgAGAFkBAAB5Bg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F5722A8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B116F6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4F4452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DfuieniAgAALgYAAA4AAABkcnMvZTJvRG9jLnhtbK1UzW7b&#10;MAy+D9g7CLq7/qmbOkGdIo3rYUCwFuiGnRVZjo3JkiApP92w6/YGO+2y+56rzzFKzk/TDUOBLQeH&#10;IimS30eKF5ebjqMV06aVIsfxSYQRE1RWrVjk+N3bMsgwMpaIinApWI7vmcGX45cvLtZqxBLZSF4x&#10;jSCIMKO1ynFjrRqFoaEN64g5kYoJMNZSd8TCUS/CSpM1RO94mETRIFxLXSktKTMGtEVvxNuI+jkB&#10;ZV23lBWSLjsmbB9VM04sQDJNqwwe+2rrmlF7U9eGWcRzDEit/0ISkOfuG44vyGihiWpaui2BPKeE&#10;J5g60gpIug9VEEvQUre/hepaqqWRtT2hsgt7IJ4RQBFHT7i5a4hiHgtQbdSedPP/wtI3q1uN2irH&#10;CUaCdNDwh29fH77/fPjxBSWOnrUyI/C6U+BnN1dyA0Oz0xtQOtSbWnfuH/AgsAO593ty2cYi6i5l&#10;SZZFYKJg2x0gfni4rrSxr5jskBNyrKF7nlSymhnbu+5cXDYhy5Zz30Eu0DrHg9OzyF/YWyA4F84X&#10;qoAYW6nvzKdhNLzOrrM0SJPBdZBGRRFMymkaDMr4/Kw4LabTIv7s4sXpqGmrigmXbzclcfq8Lmwn&#10;pe/vfk6M5G3lwrmSjF7Mp1yjFYEpLf3PMQzFP3ILj8vwZkD1BFKcpNFVMgzKQXYepGV6FgzPoyyI&#10;4uHVcBClw7QojyHNWsH+HdIR+4+KJiPXsD22OSf0w1+huXIO0ICBXeNCN4f9vDnJbuYboMiJc1nd&#10;w2xq2T9uo2jZQtIZMfaWaHjNMHOw7+wNfGouYU7kVsKokfrjn/TOH9oLVozWsB1yLGAZYsRfC3h8&#10;SXQKmwy2iT+BoI/U851aLLuphJbGsFEV9aJztnwn1lp272EdTlw2MBFBIWeO7U6c2n5XwTqlbDLx&#10;Tkul20XTX4AlooidiTtFXRo/TGqytPAy/IM58AOkugOsEU/vduW5PfX47L0Oa378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AalSs7WAAAABgEAAA8AAAAAAAAAAQAgAAAAIgAAAGRycy9kb3ducmV2&#10;LnhtbFBLAQIUABQAAAAIAIdO4kA37onp4gIAAC4GAAAOAAAAAAAAAAEAIAAAACUBAABkcnMvZTJv&#10;RG9jLnhtbFBLBQYAAAAABgAGAFkBAAB5Bg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744F4452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0585FF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5653FD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985194"/>
    <w:rsid w:val="5A985194"/>
    <w:rsid w:val="5DBB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7">
    <w:name w:val="Default Paragraph Font"/>
    <w:semiHidden/>
    <w:uiPriority w:val="0"/>
  </w:style>
  <w:style w:type="table" w:default="1" w:styleId="1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styleId="18">
    <w:name w:val="Strong"/>
    <w:basedOn w:val="17"/>
    <w:qFormat/>
    <w:uiPriority w:val="0"/>
    <w:rPr>
      <w:b/>
    </w:rPr>
  </w:style>
  <w:style w:type="paragraph" w:customStyle="1" w:styleId="19">
    <w:name w:val="主送对象"/>
    <w:next w:val="1"/>
    <w:uiPriority w:val="0"/>
    <w:pPr>
      <w:spacing w:line="560" w:lineRule="exact"/>
    </w:pPr>
    <w:rPr>
      <w:rFonts w:ascii="Times New Roman" w:hAnsi="Times New Roman" w:eastAsia="仿宋_GB2312" w:cs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2026-06-17T14:28:00Z</dcterms:created>
  <dc:creator>李森</dc:creator>
  <cp:lastModifiedBy>李森</cp:lastModifiedBy>
  <dcterms:modified xsi:type="dcterms:W3CDTF">2026-06-17T15:03:32Z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7A9692F243E14D8E8931D4A3D5848EE3_11</vt:lpwstr>
  </property>
  <property fmtid="{D5CDD505-2E9C-101B-9397-08002B2CF9AE}" pid="4" name="KSOTemplateDocerSaveRecord">
    <vt:lpwstr>eyJoZGlkIjoiZjk1MWM1Y2Q1OWRlNWEwMmM4YzYzNjMzYzYzYWI0ZjUiLCJ1c2VySWQiOiIyMzc2NDQzMjUifQ==</vt:lpwstr>
  </property>
</Properties>
</file>