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2"/>
        <w:numPr>
          <w:ilvl w:val="0"/>
          <w:numId w:val="0"/>
        </w:numPr>
        <w:ind w:left="420" w:leftChars="0"/>
        <w:jc w:val="center"/>
      </w:pPr>
      <w:r>
        <w:rPr>
          <w:rFonts w:hint="eastAsia"/>
          <w:lang w:val="en-US" w:eastAsia="zh-CN"/>
        </w:rPr>
        <w:t>教学管理平台</w:t>
      </w:r>
      <w:r>
        <w:t>项目调研</w:t>
      </w:r>
    </w:p>
    <w:p w14:paraId="4A96B219">
      <w:pPr>
        <w:ind w:left="0" w:leftChars="0" w:firstLine="0" w:firstLineChars="0"/>
      </w:pPr>
      <w:r>
        <w:t>根据医院工作需要，现对</w:t>
      </w:r>
      <w:r>
        <w:rPr>
          <w:rFonts w:hint="eastAsia"/>
          <w:lang w:val="en-US" w:eastAsia="zh-CN"/>
        </w:rPr>
        <w:t>本院教学管理平台</w:t>
      </w:r>
      <w:r>
        <w:t>项目进行采购前采购需求调查并征集供应商报价，欢迎合格供应商前来响应，具体事宜公告如下：</w:t>
      </w:r>
    </w:p>
    <w:p w14:paraId="2672E04D">
      <w:pPr>
        <w:ind w:left="0" w:leftChars="0" w:firstLine="0" w:firstLineChars="0"/>
        <w:rPr>
          <w:rFonts w:hint="eastAsia"/>
        </w:rPr>
      </w:pPr>
    </w:p>
    <w:p w14:paraId="447FE381">
      <w:pPr>
        <w:pStyle w:val="3"/>
        <w:ind w:left="0" w:leftChars="0" w:firstLine="0" w:firstLineChars="0"/>
      </w:pPr>
      <w:r>
        <w:t>一、采购项目内容</w:t>
      </w:r>
    </w:p>
    <w:tbl>
      <w:tblPr>
        <w:tblStyle w:val="7"/>
        <w:tblW w:w="37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8"/>
        <w:gridCol w:w="3050"/>
        <w:gridCol w:w="1207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5DC7E450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2216780A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产品配置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3DBA86FD">
            <w:pPr>
              <w:ind w:left="0" w:leftChars="0" w:firstLine="0" w:firstLineChars="0"/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b/>
              </w:rPr>
              <w:t>数量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276AA627">
            <w:pPr>
              <w:ind w:left="0" w:leftChars="0" w:firstLine="0" w:firstLineChars="0"/>
              <w:jc w:val="both"/>
            </w:pPr>
            <w:r>
              <w:t>1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329E6CFC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教学管理平台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07B19412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</w:tc>
      </w:tr>
    </w:tbl>
    <w:p w14:paraId="12FDDBA4">
      <w:pPr>
        <w:ind w:left="0" w:leftChars="0" w:firstLine="0" w:firstLineChars="0"/>
        <w:rPr>
          <w:rFonts w:hint="eastAsia"/>
        </w:rPr>
      </w:pPr>
    </w:p>
    <w:p w14:paraId="069C88A4">
      <w:pPr>
        <w:pStyle w:val="3"/>
        <w:numPr>
          <w:ilvl w:val="0"/>
          <w:numId w:val="3"/>
        </w:numPr>
        <w:ind w:left="0" w:leftChars="0" w:firstLine="0" w:firstLineChars="0"/>
        <w:rPr>
          <w:highlight w:val="green"/>
        </w:rPr>
      </w:pPr>
      <w:r>
        <w:rPr>
          <w:highlight w:val="green"/>
        </w:rPr>
        <w:t>核心服务内容</w:t>
      </w:r>
    </w:p>
    <w:p w14:paraId="1AF0DC9A">
      <w:pPr>
        <w:snapToGrid w:val="0"/>
        <w:spacing w:line="360" w:lineRule="auto"/>
        <w:outlineLvl w:val="0"/>
        <w:rPr>
          <w:rFonts w:hint="eastAsia" w:cs="宋体" w:asciiTheme="minorEastAsia" w:hAnsiTheme="minorEastAsia" w:eastAsiaTheme="minorEastAsia"/>
          <w:b/>
          <w:bCs/>
          <w:sz w:val="28"/>
          <w:szCs w:val="28"/>
          <w:highlight w:val="green"/>
          <w:lang w:val="en-US" w:eastAsia="zh-CN"/>
        </w:rPr>
      </w:pP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</w:rPr>
        <w:t>1</w:t>
      </w: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eastAsia="zh-CN"/>
        </w:rPr>
        <w:t>.</w:t>
      </w: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</w:rPr>
        <w:t>实习生管理</w:t>
      </w: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val="en-US" w:eastAsia="zh-CN"/>
        </w:rPr>
        <w:t>系统</w:t>
      </w:r>
    </w:p>
    <w:p w14:paraId="7E036AF8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1.1 学员档案：包括</w:t>
      </w:r>
      <w:r>
        <w:rPr>
          <w:rFonts w:hint="eastAsia" w:asciiTheme="minorEastAsia" w:hAnsiTheme="minorEastAsia"/>
          <w:sz w:val="24"/>
        </w:rPr>
        <w:t>档案</w:t>
      </w:r>
      <w:r>
        <w:rPr>
          <w:rFonts w:hint="eastAsia" w:asciiTheme="minorEastAsia" w:hAnsiTheme="minorEastAsia"/>
          <w:sz w:val="24"/>
          <w:lang w:val="en-US" w:eastAsia="zh-CN"/>
        </w:rPr>
        <w:t>建立、维护和管理调用。</w:t>
      </w:r>
    </w:p>
    <w:p w14:paraId="644BC69C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inorEastAsia" w:hAnsiTheme="minorEastAsia"/>
          <w:sz w:val="24"/>
          <w:highlight w:val="none"/>
        </w:rPr>
      </w:pPr>
      <w:r>
        <w:rPr>
          <w:rFonts w:hint="eastAsia" w:asciiTheme="minorEastAsia" w:hAnsiTheme="minorEastAsia"/>
          <w:sz w:val="24"/>
          <w:lang w:val="en-US" w:eastAsia="zh-CN"/>
        </w:rPr>
        <w:t>1.2 轮转计划管理</w:t>
      </w:r>
      <w:r>
        <w:rPr>
          <w:rFonts w:hint="eastAsia" w:asciiTheme="minorEastAsia" w:hAnsiTheme="minorEastAsia"/>
          <w:sz w:val="24"/>
          <w:highlight w:val="none"/>
          <w:lang w:val="en-US" w:eastAsia="zh-CN"/>
        </w:rPr>
        <w:t>：可按周设置轮转规则，</w:t>
      </w:r>
      <w:r>
        <w:rPr>
          <w:rFonts w:hint="eastAsia" w:cs="宋体" w:asciiTheme="minorEastAsia" w:hAnsiTheme="minorEastAsia"/>
          <w:sz w:val="24"/>
        </w:rPr>
        <w:t>提供可视化界面</w:t>
      </w:r>
      <w:r>
        <w:rPr>
          <w:rFonts w:hint="eastAsia" w:cs="宋体" w:asciiTheme="minorEastAsia" w:hAnsi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/>
          <w:sz w:val="24"/>
          <w:lang w:val="en-US" w:eastAsia="zh-CN"/>
        </w:rPr>
        <w:t>支持自动</w:t>
      </w:r>
      <w:r>
        <w:rPr>
          <w:rFonts w:hint="eastAsia" w:asciiTheme="minorEastAsia" w:hAnsiTheme="minorEastAsia"/>
          <w:sz w:val="24"/>
          <w:highlight w:val="none"/>
          <w:lang w:val="en-US" w:eastAsia="zh-CN"/>
        </w:rPr>
        <w:t>排表和快速手工调整，智能化实现容量平衡</w:t>
      </w:r>
      <w:r>
        <w:rPr>
          <w:rFonts w:hint="eastAsia" w:cs="宋体" w:asciiTheme="minorEastAsia" w:hAnsiTheme="minorEastAsia"/>
          <w:sz w:val="24"/>
          <w:highlight w:val="none"/>
        </w:rPr>
        <w:t>。</w:t>
      </w:r>
    </w:p>
    <w:p w14:paraId="2A36B553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inorEastAsia" w:hAnsiTheme="minorEastAsia" w:eastAsiaTheme="minorEastAsia"/>
          <w:sz w:val="24"/>
          <w:highlight w:val="none"/>
          <w:lang w:eastAsia="zh-CN"/>
        </w:rPr>
      </w:pPr>
      <w:r>
        <w:rPr>
          <w:rFonts w:hint="eastAsia" w:asciiTheme="minorEastAsia" w:hAnsiTheme="minorEastAsia"/>
          <w:sz w:val="24"/>
          <w:highlight w:val="none"/>
          <w:lang w:val="en-US" w:eastAsia="zh-CN"/>
        </w:rPr>
        <w:t>1.3 轮转</w:t>
      </w:r>
      <w:r>
        <w:rPr>
          <w:rFonts w:hint="eastAsia" w:asciiTheme="minorEastAsia" w:hAnsiTheme="minorEastAsia"/>
          <w:sz w:val="24"/>
          <w:highlight w:val="none"/>
        </w:rPr>
        <w:t>过程管理：</w:t>
      </w:r>
      <w:r>
        <w:rPr>
          <w:rFonts w:hint="eastAsia" w:asciiTheme="minorEastAsia" w:hAnsiTheme="minorEastAsia"/>
          <w:sz w:val="24"/>
          <w:highlight w:val="none"/>
          <w:lang w:val="en-US" w:eastAsia="zh-CN"/>
        </w:rPr>
        <w:t>包括</w:t>
      </w:r>
      <w:r>
        <w:rPr>
          <w:rFonts w:hint="eastAsia" w:asciiTheme="minorEastAsia" w:hAnsiTheme="minorEastAsia"/>
          <w:sz w:val="24"/>
          <w:highlight w:val="none"/>
        </w:rPr>
        <w:t>入科管理</w:t>
      </w:r>
      <w:r>
        <w:rPr>
          <w:rFonts w:hint="eastAsia" w:asciiTheme="minorEastAsia" w:hAnsiTheme="minorEastAsia"/>
          <w:sz w:val="24"/>
          <w:highlight w:val="none"/>
          <w:lang w:eastAsia="zh-CN"/>
        </w:rPr>
        <w:t>、</w:t>
      </w:r>
      <w:r>
        <w:rPr>
          <w:rFonts w:hint="eastAsia" w:asciiTheme="minorEastAsia" w:hAnsiTheme="minorEastAsia"/>
          <w:color w:val="auto"/>
          <w:sz w:val="24"/>
          <w:highlight w:val="none"/>
        </w:rPr>
        <w:t>轮转</w:t>
      </w:r>
      <w:r>
        <w:rPr>
          <w:rFonts w:hint="eastAsia" w:asciiTheme="minorEastAsia" w:hAnsiTheme="minorEastAsia"/>
          <w:color w:val="auto"/>
          <w:sz w:val="24"/>
          <w:highlight w:val="none"/>
          <w:lang w:val="en-US" w:eastAsia="zh-CN"/>
        </w:rPr>
        <w:t>过程管理、教学活动管理、</w:t>
      </w:r>
      <w:r>
        <w:rPr>
          <w:rFonts w:hint="eastAsia" w:asciiTheme="minorEastAsia" w:hAnsiTheme="minorEastAsia"/>
          <w:sz w:val="24"/>
        </w:rPr>
        <w:t>出科管理</w:t>
      </w:r>
      <w:r>
        <w:rPr>
          <w:rFonts w:hint="eastAsia" w:asciiTheme="minorEastAsia" w:hAnsiTheme="minorEastAsia"/>
          <w:sz w:val="24"/>
          <w:lang w:eastAsia="zh-CN"/>
        </w:rPr>
        <w:t>、</w:t>
      </w:r>
      <w:r>
        <w:rPr>
          <w:rFonts w:hint="eastAsia" w:cs="宋体" w:asciiTheme="minorEastAsia" w:hAnsiTheme="minorEastAsia"/>
          <w:sz w:val="24"/>
        </w:rPr>
        <w:t>出科</w:t>
      </w:r>
      <w:r>
        <w:rPr>
          <w:rFonts w:hint="eastAsia" w:cs="宋体" w:asciiTheme="minorEastAsia" w:hAnsiTheme="minorEastAsia"/>
          <w:sz w:val="24"/>
          <w:lang w:val="en-US" w:eastAsia="zh-CN"/>
        </w:rPr>
        <w:t>评价与</w:t>
      </w:r>
      <w:r>
        <w:rPr>
          <w:rFonts w:hint="eastAsia" w:cs="宋体" w:asciiTheme="minorEastAsia" w:hAnsiTheme="minorEastAsia"/>
          <w:sz w:val="24"/>
        </w:rPr>
        <w:t>考试</w:t>
      </w:r>
      <w:r>
        <w:rPr>
          <w:rFonts w:hint="eastAsia" w:cs="宋体" w:asciiTheme="minorEastAsia" w:hAnsiTheme="minorEastAsia"/>
          <w:sz w:val="24"/>
          <w:lang w:eastAsia="zh-CN"/>
        </w:rPr>
        <w:t>。</w:t>
      </w:r>
    </w:p>
    <w:p w14:paraId="63773F50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inorEastAsia" w:hAnsiTheme="minorEastAsia"/>
          <w:sz w:val="24"/>
          <w:highlight w:val="none"/>
        </w:rPr>
      </w:pPr>
      <w:r>
        <w:rPr>
          <w:rFonts w:hint="eastAsia" w:cs="宋体" w:asciiTheme="minorEastAsia" w:hAnsiTheme="minorEastAsia"/>
          <w:sz w:val="24"/>
          <w:highlight w:val="none"/>
          <w:lang w:val="en-US" w:eastAsia="zh-CN"/>
        </w:rPr>
        <w:t>1.4 结</w:t>
      </w:r>
      <w:r>
        <w:rPr>
          <w:rFonts w:hint="eastAsia" w:cs="宋体" w:asciiTheme="minorEastAsia" w:hAnsiTheme="minorEastAsia"/>
          <w:sz w:val="24"/>
          <w:highlight w:val="none"/>
        </w:rPr>
        <w:t>业管理：</w:t>
      </w:r>
      <w:r>
        <w:rPr>
          <w:rFonts w:hint="eastAsia" w:cs="宋体" w:asciiTheme="minorEastAsia" w:hAnsiTheme="minorEastAsia"/>
          <w:sz w:val="24"/>
          <w:highlight w:val="none"/>
          <w:lang w:val="en-US" w:eastAsia="zh-CN"/>
        </w:rPr>
        <w:t>包括结业考核、评分汇总、分层鉴定等。</w:t>
      </w:r>
    </w:p>
    <w:p w14:paraId="6C6D7845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asciiTheme="minorEastAsia" w:hAnsiTheme="minorEastAsia"/>
          <w:sz w:val="24"/>
          <w:highlight w:val="none"/>
        </w:rPr>
      </w:pPr>
      <w:r>
        <w:rPr>
          <w:rFonts w:hint="eastAsia" w:cs="宋体" w:asciiTheme="minorEastAsia" w:hAnsiTheme="minorEastAsia"/>
          <w:sz w:val="24"/>
          <w:highlight w:val="none"/>
          <w:lang w:val="en-US" w:eastAsia="zh-CN"/>
        </w:rPr>
        <w:t>1.5 补实习管理：支持补实习记录填报和审核。</w:t>
      </w:r>
    </w:p>
    <w:p w14:paraId="0AF6BB8D">
      <w:pPr>
        <w:snapToGrid w:val="0"/>
        <w:spacing w:line="360" w:lineRule="auto"/>
        <w:outlineLvl w:val="0"/>
        <w:rPr>
          <w:rFonts w:hint="eastAsia" w:cs="宋体" w:asciiTheme="minorEastAsia" w:hAnsiTheme="minorEastAsia" w:eastAsiaTheme="minorEastAsia"/>
          <w:b/>
          <w:bCs/>
          <w:sz w:val="28"/>
          <w:szCs w:val="28"/>
          <w:highlight w:val="green"/>
          <w:lang w:val="en-US" w:eastAsia="zh-CN"/>
        </w:rPr>
      </w:pP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</w:rPr>
        <w:t>2.规范化培训管理</w:t>
      </w: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val="en-US" w:eastAsia="zh-CN"/>
        </w:rPr>
        <w:t>系统</w:t>
      </w:r>
    </w:p>
    <w:p w14:paraId="42BEF673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2.1 住院医师档案：包括档案建立、维护和管理调用。</w:t>
      </w:r>
    </w:p>
    <w:p w14:paraId="0761C0DF">
      <w:pPr>
        <w:numPr>
          <w:ilvl w:val="0"/>
          <w:numId w:val="0"/>
        </w:numPr>
        <w:snapToGrid w:val="0"/>
        <w:spacing w:line="360" w:lineRule="auto"/>
        <w:ind w:leftChars="0"/>
        <w:rPr>
          <w:rFonts w:hint="default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2.2 轮转规范管理：完整适配2023版中医住院医师规范化培训标准体系，并有成熟应用单位。</w:t>
      </w:r>
    </w:p>
    <w:p w14:paraId="2D15FE77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2.3 轮转计划管理：提供可视化界面，支持自动排表和快速手工调整，智能化实现容量平衡。</w:t>
      </w:r>
    </w:p>
    <w:p w14:paraId="6B4E1FF6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2.4 轮转过程管理：包括入科管理、轮转过程管理、教学活动管理、出科管理、出科评价与考试。</w:t>
      </w:r>
    </w:p>
    <w:p w14:paraId="2450BBAE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2.5 轮转手册管理：支持学员便捷登记轮转期间病种、技能完成情况，记录跟师情况，系统能够智能化评估填写是否认真，以及对照培训标准初步自动评判合格情况；支持带教老师、师承老师、教学管理人员对填写记录进行审核。</w:t>
      </w:r>
    </w:p>
    <w:p w14:paraId="51993740">
      <w:pPr>
        <w:numPr>
          <w:ilvl w:val="0"/>
          <w:numId w:val="0"/>
        </w:numPr>
        <w:snapToGrid w:val="0"/>
        <w:spacing w:line="360" w:lineRule="auto"/>
        <w:ind w:leftChars="0"/>
        <w:rPr>
          <w:rFonts w:hint="default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2.6 督导管理：包括督导计划、执行、反馈管理。</w:t>
      </w:r>
    </w:p>
    <w:p w14:paraId="036ABAF1">
      <w:pPr>
        <w:numPr>
          <w:ilvl w:val="0"/>
          <w:numId w:val="0"/>
        </w:numPr>
        <w:snapToGrid w:val="0"/>
        <w:spacing w:line="360" w:lineRule="auto"/>
        <w:ind w:leftChars="0"/>
        <w:rPr>
          <w:rFonts w:hint="default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2.7 补助经费管理：支持针对不同类别学员设置补助规则，根据规则生成月度得分并按照规则自动核算补助金额，显示核算明细，生成月度报表。</w:t>
      </w:r>
    </w:p>
    <w:p w14:paraId="1349420A">
      <w:pPr>
        <w:snapToGrid w:val="0"/>
        <w:spacing w:line="360" w:lineRule="auto"/>
        <w:outlineLvl w:val="0"/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val="en-US" w:eastAsia="zh-CN"/>
        </w:rPr>
      </w:pP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val="en-US" w:eastAsia="zh-CN"/>
        </w:rPr>
        <w:t>3.师资管理系统</w:t>
      </w:r>
    </w:p>
    <w:p w14:paraId="314F2289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3.1 师资档案：包括档案建立、维护和管理调用。</w:t>
      </w:r>
    </w:p>
    <w:p w14:paraId="6D7C8EB5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3.2 师资聘任：支持教师申请带教资质，或由科室根据条件配置，设置聘任时间，支持聘任后，教学秘书在分配带教老师时，可按资质区分。</w:t>
      </w:r>
    </w:p>
    <w:p w14:paraId="67CF953F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3.3 师资培训与考核：支持在线师资培训和考核（资源支持和流程适配）。</w:t>
      </w:r>
    </w:p>
    <w:p w14:paraId="092ADC01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3.4 教学绩效管理：支持定制开发师资教学绩效评分体系，支持针对不同带教老师设置绩效规则，除系统使用数据外，还可以通过录入考评数据参与绩效考评，考评数据可以区分加分项和减分项，分值能够根据评分项公式自动计算得分。</w:t>
      </w:r>
    </w:p>
    <w:p w14:paraId="3085910F">
      <w:pPr>
        <w:snapToGrid w:val="0"/>
        <w:spacing w:line="360" w:lineRule="auto"/>
        <w:outlineLvl w:val="0"/>
        <w:rPr>
          <w:rFonts w:hint="eastAsia" w:cs="宋体" w:asciiTheme="minorEastAsia" w:hAnsiTheme="minorEastAsia" w:eastAsiaTheme="minorEastAsia"/>
          <w:b/>
          <w:bCs/>
          <w:sz w:val="28"/>
          <w:szCs w:val="28"/>
          <w:highlight w:val="green"/>
          <w:lang w:val="en-US" w:eastAsia="zh-CN"/>
        </w:rPr>
      </w:pP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val="en-US" w:eastAsia="zh-CN"/>
        </w:rPr>
        <w:t>4.</w:t>
      </w: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</w:rPr>
        <w:t>教务管理</w:t>
      </w: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val="en-US" w:eastAsia="zh-CN"/>
        </w:rPr>
        <w:t>系统</w:t>
      </w:r>
    </w:p>
    <w:p w14:paraId="0F1AB4AF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 xml:space="preserve">4.1 </w:t>
      </w:r>
      <w:r>
        <w:rPr>
          <w:rFonts w:hint="eastAsia" w:cs="宋体" w:asciiTheme="minorEastAsia" w:hAnsiTheme="minorEastAsia"/>
          <w:sz w:val="24"/>
        </w:rPr>
        <w:t>日常事务：由管理人员发起的事务性管理活动</w:t>
      </w:r>
      <w:r>
        <w:rPr>
          <w:rFonts w:hint="eastAsia" w:cs="宋体" w:asciiTheme="minorEastAsia" w:hAnsiTheme="minorEastAsia"/>
          <w:sz w:val="24"/>
          <w:lang w:val="en-US" w:eastAsia="zh-CN"/>
        </w:rPr>
        <w:t>和通知发布功能</w:t>
      </w:r>
      <w:r>
        <w:rPr>
          <w:rFonts w:hint="eastAsia" w:cs="宋体" w:asciiTheme="minorEastAsia" w:hAnsiTheme="minorEastAsia"/>
          <w:sz w:val="24"/>
        </w:rPr>
        <w:t>。</w:t>
      </w:r>
    </w:p>
    <w:p w14:paraId="6C8D4B65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 xml:space="preserve">4.2 </w:t>
      </w:r>
      <w:r>
        <w:rPr>
          <w:rFonts w:hint="eastAsia" w:cs="宋体" w:asciiTheme="minorEastAsia" w:hAnsiTheme="minorEastAsia"/>
          <w:sz w:val="24"/>
        </w:rPr>
        <w:t>排班</w:t>
      </w:r>
      <w:r>
        <w:rPr>
          <w:rFonts w:hint="eastAsia" w:cs="宋体" w:asciiTheme="minorEastAsia" w:hAnsiTheme="minorEastAsia"/>
          <w:sz w:val="24"/>
          <w:lang w:val="en-US" w:eastAsia="zh-CN"/>
        </w:rPr>
        <w:t>和值班管理</w:t>
      </w:r>
      <w:r>
        <w:rPr>
          <w:rFonts w:hint="eastAsia" w:cs="宋体" w:asciiTheme="minorEastAsia" w:hAnsiTheme="minorEastAsia"/>
          <w:sz w:val="24"/>
        </w:rPr>
        <w:t>：</w:t>
      </w:r>
      <w:r>
        <w:rPr>
          <w:rFonts w:hint="eastAsia" w:cs="宋体" w:asciiTheme="minorEastAsia" w:hAnsiTheme="minorEastAsia"/>
          <w:sz w:val="24"/>
          <w:lang w:val="en-US" w:eastAsia="zh-CN"/>
        </w:rPr>
        <w:t>教学</w:t>
      </w:r>
      <w:r>
        <w:rPr>
          <w:rFonts w:hint="eastAsia" w:cs="宋体" w:asciiTheme="minorEastAsia" w:hAnsiTheme="minorEastAsia"/>
          <w:sz w:val="24"/>
        </w:rPr>
        <w:t>秘书可为学员设置班次，包括排班类型（如白班、夜班、24小时班等）。支持提交每月排班计划，</w:t>
      </w:r>
      <w:r>
        <w:rPr>
          <w:rFonts w:hint="eastAsia" w:cs="宋体" w:asciiTheme="minorEastAsia" w:hAnsiTheme="minorEastAsia"/>
          <w:sz w:val="24"/>
          <w:lang w:val="en-US" w:eastAsia="zh-CN"/>
        </w:rPr>
        <w:t>统计值班数据</w:t>
      </w:r>
      <w:r>
        <w:rPr>
          <w:rFonts w:hint="eastAsia" w:cs="宋体" w:asciiTheme="minorEastAsia" w:hAnsiTheme="minorEastAsia"/>
          <w:sz w:val="24"/>
        </w:rPr>
        <w:t>。</w:t>
      </w:r>
    </w:p>
    <w:p w14:paraId="0DA2F67A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4.3 学业管理：可对轮转异常、出科考核不合格、考试</w:t>
      </w:r>
      <w:r>
        <w:rPr>
          <w:rFonts w:hint="eastAsia" w:cs="宋体" w:asciiTheme="minorEastAsia" w:hAnsiTheme="minorEastAsia"/>
          <w:sz w:val="24"/>
        </w:rPr>
        <w:t>考核</w:t>
      </w:r>
      <w:r>
        <w:rPr>
          <w:rFonts w:hint="eastAsia" w:cs="宋体" w:asciiTheme="minorEastAsia" w:hAnsiTheme="minorEastAsia"/>
          <w:sz w:val="24"/>
          <w:lang w:val="en-US" w:eastAsia="zh-CN"/>
        </w:rPr>
        <w:t>不合格等重要信息进行预警提示和追踪管理</w:t>
      </w:r>
      <w:r>
        <w:rPr>
          <w:rFonts w:hint="eastAsia" w:cs="宋体" w:asciiTheme="minorEastAsia" w:hAnsiTheme="minorEastAsia"/>
          <w:sz w:val="24"/>
        </w:rPr>
        <w:t>。</w:t>
      </w:r>
    </w:p>
    <w:p w14:paraId="2484482D">
      <w:pPr>
        <w:numPr>
          <w:ilvl w:val="0"/>
          <w:numId w:val="0"/>
        </w:numPr>
        <w:snapToGrid w:val="0"/>
        <w:spacing w:line="360" w:lineRule="auto"/>
        <w:ind w:leftChars="0"/>
        <w:rPr>
          <w:rFonts w:hint="default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4.4考勤管理：支持多种考勤规则设置，对考勤异常情况进行提醒，可按时间段、专业、人员姓名、请假理由等多种维度汇总分析考勤数据。</w:t>
      </w:r>
    </w:p>
    <w:p w14:paraId="2341931E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4.5 请销假管理：支持根据请假类别、天数自动匹配相应的审批规则，进入审批流程。审核通过后，请假记录将自动同步通知到关联人员，并将销假后实际考勤结果同步至考勤记录中。</w:t>
      </w:r>
    </w:p>
    <w:p w14:paraId="3FD66316">
      <w:pPr>
        <w:numPr>
          <w:ilvl w:val="0"/>
          <w:numId w:val="0"/>
        </w:numPr>
        <w:snapToGrid w:val="0"/>
        <w:spacing w:line="360" w:lineRule="auto"/>
        <w:ind w:leftChars="0"/>
        <w:rPr>
          <w:rFonts w:hint="default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4.6 教学评价：提供多种评价工具，支持不同维度和内容的评价。支持评价数据智能化分析和一键导出。支持可视化查看学员、老师、科室等维度的评价情况。</w:t>
      </w:r>
    </w:p>
    <w:p w14:paraId="79AF77D0">
      <w:pPr>
        <w:numPr>
          <w:ilvl w:val="0"/>
          <w:numId w:val="0"/>
        </w:numPr>
        <w:snapToGrid w:val="0"/>
        <w:spacing w:line="360" w:lineRule="auto"/>
        <w:ind w:leftChars="0"/>
        <w:rPr>
          <w:rFonts w:hint="default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4.7 档案管理：包括基地档案、教研室档案、教学小组（科室）档案的建立、维护和数据调用。</w:t>
      </w:r>
    </w:p>
    <w:p w14:paraId="01E369DF">
      <w:pPr>
        <w:numPr>
          <w:ilvl w:val="0"/>
          <w:numId w:val="0"/>
        </w:numPr>
        <w:snapToGrid w:val="0"/>
        <w:spacing w:line="360" w:lineRule="auto"/>
        <w:ind w:leftChars="0"/>
        <w:rPr>
          <w:rFonts w:hint="default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4.8 工作通知和提醒功能</w:t>
      </w:r>
    </w:p>
    <w:p w14:paraId="5A664E7D">
      <w:pPr>
        <w:snapToGrid w:val="0"/>
        <w:spacing w:line="360" w:lineRule="auto"/>
        <w:outlineLvl w:val="0"/>
        <w:rPr>
          <w:rFonts w:hint="eastAsia" w:cs="宋体" w:asciiTheme="minorEastAsia" w:hAnsiTheme="minorEastAsia"/>
          <w:b/>
          <w:bCs/>
          <w:sz w:val="28"/>
          <w:szCs w:val="28"/>
          <w:highlight w:val="green"/>
        </w:rPr>
      </w:pP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  <w:lang w:val="en-US" w:eastAsia="zh-CN"/>
        </w:rPr>
        <w:t>5.</w:t>
      </w:r>
      <w:r>
        <w:rPr>
          <w:rFonts w:hint="eastAsia" w:cs="宋体" w:asciiTheme="minorEastAsia" w:hAnsiTheme="minorEastAsia"/>
          <w:b/>
          <w:bCs/>
          <w:sz w:val="28"/>
          <w:szCs w:val="28"/>
          <w:highlight w:val="green"/>
        </w:rPr>
        <w:t>医学考试管理系统</w:t>
      </w:r>
    </w:p>
    <w:p w14:paraId="4E0F630D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5.1 题库管理：</w:t>
      </w:r>
    </w:p>
    <w:p w14:paraId="4E089527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5.1.1 实现网页端、后台管理、微信公众号等多端口接入方式。</w:t>
      </w:r>
    </w:p>
    <w:p w14:paraId="78C3D1F0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5.1.2 题库要求有云端服务器，且能保证至少 300 人用户的同时访问需求。支持云题库，题库要求支持影音、图片等多媒体试题用于考核，云题库对试题要有云计算和分析能力，能接收用户的错题纠正反馈，有纠错功能。</w:t>
      </w:r>
    </w:p>
    <w:p w14:paraId="1C258934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5.1.3 题库内容要确保每年更新维护，支持每年免费更新。题库题量、题型丰富，能够满足实习考试、规培考试、青年医师三基考试的需求，应包括：（1）临床、中医、护理等相关教材按章节组织的试题（人民卫生出版社和中国中医药出版社近五年内版本）；（2）国家中医执业医师和国家中医住培大纲要求的专业试题和题型；（3）中医医疗、护理三基题库。</w:t>
      </w:r>
    </w:p>
    <w:p w14:paraId="4048CEE5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  <w:r>
        <w:rPr>
          <w:rFonts w:hint="eastAsia" w:cs="宋体" w:asciiTheme="minorEastAsia" w:hAnsiTheme="minorEastAsia"/>
          <w:sz w:val="24"/>
          <w:lang w:val="en-US" w:eastAsia="zh-CN"/>
        </w:rPr>
        <w:t>5.2 考务管理：包括创建考试、考试场次、监考、防作弊、补考重考、阅卷评分、考情分析、成绩发布等功能，应体现规则和设置的智能化、便捷性、准确性。</w:t>
      </w:r>
    </w:p>
    <w:p w14:paraId="4E56A009">
      <w:pPr>
        <w:numPr>
          <w:ilvl w:val="0"/>
          <w:numId w:val="0"/>
        </w:numPr>
        <w:snapToGrid w:val="0"/>
        <w:spacing w:line="360" w:lineRule="auto"/>
        <w:ind w:leftChars="0"/>
        <w:rPr>
          <w:rFonts w:hint="eastAsia" w:cs="宋体" w:asciiTheme="minorEastAsia" w:hAnsiTheme="minorEastAsia"/>
          <w:sz w:val="24"/>
          <w:lang w:val="en-US" w:eastAsia="zh-CN"/>
        </w:rPr>
      </w:pPr>
    </w:p>
    <w:p w14:paraId="7AD27358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三</w:t>
      </w:r>
      <w:r>
        <w:t>、商务售后要求</w:t>
      </w:r>
    </w:p>
    <w:p w14:paraId="3DBB0D19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供应商提供3年免费基础技术保障服务；质保期内供应商提供远程常态化技术支撑。</w:t>
      </w:r>
    </w:p>
    <w:p w14:paraId="0932B14C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供应商具备完善售后服务体系即可，不强制硬性设立固定实体驻点，可依托供应商在地市级授权服务团队 / 合作服务网点、专职售后人员统筹保障本地服务响应。</w:t>
      </w:r>
    </w:p>
    <w:p w14:paraId="454C710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服务响应标准：提供 7×8 小时远程咨询与线上技术支持；远程可解决问题优先远程处置；确需现场处置、系统版本合规升级的，按双方约定流程提供上门配合服务。</w:t>
      </w:r>
    </w:p>
    <w:p w14:paraId="3124B8D0">
      <w:pPr>
        <w:widowControl w:val="0"/>
        <w:spacing w:before="0" w:after="0"/>
        <w:ind w:left="0" w:leftChars="0" w:firstLine="0" w:firstLineChars="0"/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812724B">
      <w:pPr>
        <w:ind w:left="0" w:leftChars="0" w:firstLine="0" w:firstLineChars="0"/>
        <w:rPr>
          <w:rFonts w:hint="eastAsia"/>
        </w:rPr>
      </w:pPr>
    </w:p>
    <w:p w14:paraId="070D1580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四</w:t>
      </w:r>
      <w:r>
        <w:t>、现场对接</w:t>
      </w:r>
      <w:bookmarkStart w:id="0" w:name="_GoBack"/>
      <w:bookmarkEnd w:id="0"/>
    </w:p>
    <w:p w14:paraId="496E8E93">
      <w:pPr>
        <w:numPr>
          <w:ilvl w:val="0"/>
          <w:numId w:val="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如需了解现场情况，联系电话：许老师 15380881282。</w:t>
      </w:r>
    </w:p>
    <w:p w14:paraId="75500CC6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ADEC9"/>
    <w:multiLevelType w:val="multilevel"/>
    <w:tmpl w:val="8DCADEC9"/>
    <w:lvl w:ilvl="0" w:tentative="0">
      <w:start w:val="1"/>
      <w:numFmt w:val="decimal"/>
      <w:suff w:val="nothing"/>
      <w:lvlText w:val="%1"/>
      <w:lvlJc w:val="center"/>
      <w:pPr>
        <w:ind w:left="425" w:hanging="425"/>
      </w:pPr>
      <w:rPr>
        <w:rFonts w:hint="default" w:ascii="Times New Roman" w:hAnsi="Times New Roman" w:eastAsia="黑体"/>
        <w:b w:val="0"/>
        <w:i w:val="0"/>
        <w:color w:val="auto"/>
        <w:sz w:val="30"/>
        <w:u w:val="none"/>
      </w:rPr>
    </w:lvl>
    <w:lvl w:ilvl="1" w:tentative="0">
      <w:start w:val="1"/>
      <w:numFmt w:val="decimal"/>
      <w:suff w:val="nothing"/>
      <w:lvlText w:val="%1.%2"/>
      <w:lvlJc w:val="left"/>
      <w:pPr>
        <w:ind w:left="425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snapToGrid w:val="0"/>
        <w:vanish w:val="0"/>
        <w:color w:val="000000"/>
        <w:spacing w:val="0"/>
        <w:w w:val="0"/>
        <w:position w:val="0"/>
        <w:sz w:val="0"/>
        <w:szCs w:val="0"/>
        <w:u w:val="none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tl">
          <w14:srgbClr w14:val="000000"/>
        </w14:shadow>
        <w14:reflection w14:blurRad="0" w14:stA="0" w14:stPos="0" w14:endA="0" w14:endPos="0" w14:dist="0" w14:dir="0" w14:fadeDir="0" w14:sx="0" w14:sy="0" w14:kx="0" w14:ky="0" w14:algn="tl"/>
        <w14:props3d w14:extrusionH="0" w14:contourW="0" w14:prstMaterial="clear"/>
        <w14:ligatures w14:val="none"/>
        <w14:numForm w14:val="default"/>
        <w14:numSpacing w14:val="default"/>
      </w:rPr>
    </w:lvl>
    <w:lvl w:ilvl="2" w:tentative="0">
      <w:start w:val="1"/>
      <w:numFmt w:val="decimal"/>
      <w:suff w:val="nothing"/>
      <w:lvlText w:val="%1.%2.%3"/>
      <w:lvlJc w:val="left"/>
      <w:pPr>
        <w:ind w:left="425" w:hanging="425"/>
      </w:pPr>
      <w:rPr>
        <w:rFonts w:hint="default" w:ascii="仿宋" w:hAnsi="仿宋" w:eastAsia="仿宋" w:cs="仿宋"/>
        <w:b/>
        <w:i w:val="0"/>
        <w:sz w:val="24"/>
      </w:rPr>
    </w:lvl>
    <w:lvl w:ilvl="3" w:tentative="0">
      <w:start w:val="1"/>
      <w:numFmt w:val="decimal"/>
      <w:pStyle w:val="5"/>
      <w:suff w:val="nothing"/>
      <w:lvlText w:val="%1.%2.%3.%4"/>
      <w:lvlJc w:val="left"/>
      <w:pPr>
        <w:ind w:left="425" w:hanging="425"/>
      </w:pPr>
      <w:rPr>
        <w:rFonts w:hint="default" w:ascii="Times New Roman" w:hAnsi="Times New Roman" w:eastAsia="黑体"/>
        <w:b/>
        <w:i w:val="0"/>
        <w:sz w:val="21"/>
      </w:rPr>
    </w:lvl>
    <w:lvl w:ilvl="4" w:tentative="0">
      <w:start w:val="1"/>
      <w:numFmt w:val="decimal"/>
      <w:suff w:val="nothing"/>
      <w:lvlText w:val="%1.%2.%3.%4.%5"/>
      <w:lvlJc w:val="left"/>
      <w:pPr>
        <w:ind w:left="985" w:hanging="425"/>
      </w:pPr>
      <w:rPr>
        <w:rFonts w:hint="default" w:ascii="Times New Roman" w:hAnsi="Times New Roman"/>
        <w:b/>
        <w:i w:val="0"/>
        <w:sz w:val="21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default" w:ascii="Times New Roman" w:hAnsi="Times New Roman" w:eastAsia="宋体"/>
        <w:b/>
        <w:i w:val="0"/>
        <w:sz w:val="21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AB2BFF69"/>
    <w:multiLevelType w:val="singleLevel"/>
    <w:tmpl w:val="AB2BFF6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0C77C71"/>
    <w:multiLevelType w:val="singleLevel"/>
    <w:tmpl w:val="40C77C71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30F4492"/>
    <w:rsid w:val="0C6A7DA7"/>
    <w:rsid w:val="18B9619D"/>
    <w:rsid w:val="1F8D3BA5"/>
    <w:rsid w:val="23A9040D"/>
    <w:rsid w:val="2725114A"/>
    <w:rsid w:val="297D4824"/>
    <w:rsid w:val="298721D9"/>
    <w:rsid w:val="32A72670"/>
    <w:rsid w:val="439C1036"/>
    <w:rsid w:val="466C691A"/>
    <w:rsid w:val="476242D5"/>
    <w:rsid w:val="4B9E7988"/>
    <w:rsid w:val="52D23572"/>
    <w:rsid w:val="65696C01"/>
    <w:rsid w:val="6D370670"/>
    <w:rsid w:val="6D66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2"/>
      </w:numPr>
      <w:spacing w:before="50" w:after="50" w:line="300" w:lineRule="auto"/>
      <w:outlineLvl w:val="3"/>
    </w:pPr>
    <w:rPr>
      <w:rFonts w:eastAsia="仿宋_GB2312" w:cstheme="majorBidi"/>
      <w:bCs/>
      <w:sz w:val="30"/>
      <w:szCs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0"/>
    <w:pPr>
      <w:spacing w:after="120"/>
    </w:pPr>
    <w:rPr>
      <w:rFonts w:ascii="Calibri" w:hAnsi="Calibri" w:cs="Times New Roman"/>
      <w:szCs w:val="24"/>
    </w:rPr>
  </w:style>
  <w:style w:type="paragraph" w:customStyle="1" w:styleId="9">
    <w:name w:val="样式1"/>
    <w:basedOn w:val="1"/>
    <w:qFormat/>
    <w:uiPriority w:val="99"/>
    <w:rPr>
      <w:rFonts w:eastAsia="仿宋_GB2312"/>
      <w:sz w:val="32"/>
    </w:rPr>
  </w:style>
  <w:style w:type="paragraph" w:customStyle="1" w:styleId="10">
    <w:name w:val="首缩正文"/>
    <w:basedOn w:val="1"/>
    <w:qFormat/>
    <w:uiPriority w:val="0"/>
    <w:pPr>
      <w:spacing w:line="600" w:lineRule="exact"/>
      <w:ind w:firstLine="200"/>
    </w:p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522</Words>
  <Characters>547</Characters>
  <Lines>0</Lines>
  <Paragraphs>0</Paragraphs>
  <TotalTime>3</TotalTime>
  <ScaleCrop>false</ScaleCrop>
  <LinksUpToDate>false</LinksUpToDate>
  <CharactersWithSpaces>557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倪凌</cp:lastModifiedBy>
  <dcterms:modified xsi:type="dcterms:W3CDTF">2026-06-15T01:45:40Z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0E2FF197F985433E804DD9CF615F1650_13</vt:lpwstr>
  </property>
  <property fmtid="{D5CDD505-2E9C-101B-9397-08002B2CF9AE}" pid="4" name="KSOTemplateDocerSaveRecord">
    <vt:lpwstr>eyJoZGlkIjoiNzk0ZTk0MjFlZTQ0YWFhNmNhNjViMjQ0ZmE4NGIwOGMiLCJ1c2VySWQiOiI1NjY0NTU2MTAifQ==</vt:lpwstr>
  </property>
</Properties>
</file>