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9C632">
      <w:pPr>
        <w:jc w:val="center"/>
        <w:rPr>
          <w:rFonts w:ascii="宋体" w:hAnsi="宋体"/>
          <w:b/>
          <w:sz w:val="44"/>
          <w:szCs w:val="44"/>
          <w:lang w:val="zh-CN"/>
        </w:rPr>
      </w:pPr>
    </w:p>
    <w:p w14:paraId="7A3A3372">
      <w:pPr>
        <w:jc w:val="center"/>
        <w:rPr>
          <w:rFonts w:ascii="宋体" w:hAnsi="宋体"/>
          <w:b/>
          <w:sz w:val="44"/>
          <w:szCs w:val="44"/>
          <w:lang w:val="zh-CN"/>
        </w:rPr>
      </w:pPr>
    </w:p>
    <w:p w14:paraId="7EDCBA1A">
      <w:pPr>
        <w:jc w:val="center"/>
        <w:rPr>
          <w:rFonts w:ascii="宋体" w:hAnsi="宋体"/>
          <w:b/>
          <w:sz w:val="44"/>
          <w:szCs w:val="44"/>
          <w:lang w:val="zh-CN"/>
        </w:rPr>
      </w:pPr>
    </w:p>
    <w:p w14:paraId="57F58DA6">
      <w:pPr>
        <w:jc w:val="center"/>
        <w:rPr>
          <w:rFonts w:ascii="宋体" w:hAnsi="宋体"/>
          <w:b/>
          <w:sz w:val="44"/>
          <w:szCs w:val="44"/>
          <w:lang w:val="zh-CN"/>
        </w:rPr>
      </w:pPr>
    </w:p>
    <w:p w14:paraId="599DABBC">
      <w:pPr>
        <w:jc w:val="center"/>
        <w:rPr>
          <w:rFonts w:ascii="宋体" w:hAnsi="宋体"/>
          <w:b/>
          <w:sz w:val="44"/>
          <w:szCs w:val="44"/>
          <w:lang w:val="zh-CN"/>
        </w:rPr>
      </w:pPr>
    </w:p>
    <w:p w14:paraId="5E51068B">
      <w:pPr>
        <w:spacing w:after="156" w:afterLines="50" w:line="360" w:lineRule="auto"/>
        <w:jc w:val="center"/>
        <w:rPr>
          <w:rFonts w:ascii="宋体" w:hAnsi="宋体"/>
          <w:b/>
          <w:sz w:val="44"/>
          <w:szCs w:val="44"/>
          <w:lang w:val="zh-CN"/>
        </w:rPr>
      </w:pPr>
      <w:r>
        <w:rPr>
          <w:rFonts w:hint="eastAsia" w:ascii="宋体" w:hAnsi="宋体"/>
          <w:b/>
          <w:sz w:val="44"/>
          <w:szCs w:val="44"/>
          <w:lang w:val="zh-CN"/>
        </w:rPr>
        <w:t>江苏省第二中医院会议系统</w:t>
      </w:r>
      <w:bookmarkStart w:id="2" w:name="_GoBack"/>
      <w:bookmarkEnd w:id="2"/>
      <w:r>
        <w:rPr>
          <w:rFonts w:hint="eastAsia" w:ascii="宋体" w:hAnsi="宋体"/>
          <w:b/>
          <w:sz w:val="44"/>
          <w:szCs w:val="44"/>
          <w:lang w:val="zh-CN"/>
        </w:rPr>
        <w:t>项目</w:t>
      </w:r>
    </w:p>
    <w:p w14:paraId="5F1CA13F">
      <w:pPr>
        <w:spacing w:after="156" w:afterLines="50" w:line="360" w:lineRule="auto"/>
        <w:jc w:val="center"/>
        <w:rPr>
          <w:rFonts w:ascii="宋体" w:hAnsi="宋体"/>
          <w:color w:val="000000"/>
          <w:sz w:val="44"/>
          <w:szCs w:val="44"/>
          <w:lang w:val="zh-CN"/>
        </w:rPr>
      </w:pPr>
      <w:r>
        <w:rPr>
          <w:rFonts w:hint="eastAsia" w:ascii="宋体" w:hAnsi="宋体"/>
          <w:b/>
          <w:sz w:val="44"/>
          <w:szCs w:val="44"/>
          <w:lang w:val="zh-CN"/>
        </w:rPr>
        <w:t>调研内容</w:t>
      </w:r>
    </w:p>
    <w:p w14:paraId="12B42727">
      <w:pPr>
        <w:autoSpaceDE w:val="0"/>
        <w:autoSpaceDN w:val="0"/>
        <w:adjustRightInd w:val="0"/>
        <w:jc w:val="left"/>
        <w:rPr>
          <w:rFonts w:ascii="宋体" w:hAnsi="宋体"/>
          <w:color w:val="000000"/>
          <w:sz w:val="32"/>
          <w:szCs w:val="32"/>
          <w:lang w:val="zh-CN"/>
        </w:rPr>
      </w:pPr>
    </w:p>
    <w:p w14:paraId="6351D094">
      <w:pPr>
        <w:autoSpaceDE w:val="0"/>
        <w:autoSpaceDN w:val="0"/>
        <w:adjustRightInd w:val="0"/>
        <w:jc w:val="left"/>
        <w:rPr>
          <w:rFonts w:ascii="宋体" w:hAnsi="宋体"/>
          <w:color w:val="000000"/>
          <w:sz w:val="32"/>
          <w:szCs w:val="32"/>
          <w:lang w:val="zh-CN"/>
        </w:rPr>
      </w:pPr>
    </w:p>
    <w:p w14:paraId="7BF58440">
      <w:pPr>
        <w:spacing w:line="480" w:lineRule="auto"/>
        <w:rPr>
          <w:rFonts w:ascii="宋体" w:hAnsi="宋体"/>
          <w:sz w:val="32"/>
          <w:szCs w:val="32"/>
        </w:rPr>
      </w:pPr>
    </w:p>
    <w:p w14:paraId="5AA8585B">
      <w:pPr>
        <w:tabs>
          <w:tab w:val="left" w:pos="4500"/>
        </w:tabs>
        <w:autoSpaceDE w:val="0"/>
        <w:autoSpaceDN w:val="0"/>
        <w:adjustRightInd w:val="0"/>
        <w:jc w:val="center"/>
        <w:rPr>
          <w:rFonts w:ascii="宋体" w:hAnsi="宋体"/>
          <w:color w:val="000000"/>
          <w:sz w:val="44"/>
          <w:szCs w:val="44"/>
          <w:lang w:val="zh-CN"/>
        </w:rPr>
      </w:pPr>
    </w:p>
    <w:p w14:paraId="63530672">
      <w:pPr>
        <w:tabs>
          <w:tab w:val="left" w:pos="4500"/>
        </w:tabs>
        <w:autoSpaceDE w:val="0"/>
        <w:autoSpaceDN w:val="0"/>
        <w:adjustRightInd w:val="0"/>
        <w:jc w:val="center"/>
        <w:rPr>
          <w:rFonts w:ascii="宋体" w:hAnsi="宋体"/>
          <w:color w:val="000000"/>
          <w:sz w:val="44"/>
          <w:szCs w:val="44"/>
          <w:lang w:val="zh-CN"/>
        </w:rPr>
      </w:pPr>
    </w:p>
    <w:p w14:paraId="4E922760">
      <w:pPr>
        <w:tabs>
          <w:tab w:val="left" w:pos="4500"/>
        </w:tabs>
        <w:autoSpaceDE w:val="0"/>
        <w:autoSpaceDN w:val="0"/>
        <w:adjustRightInd w:val="0"/>
        <w:jc w:val="center"/>
        <w:rPr>
          <w:rFonts w:ascii="宋体" w:hAnsi="宋体"/>
          <w:color w:val="000000"/>
          <w:sz w:val="44"/>
          <w:szCs w:val="44"/>
          <w:lang w:val="zh-CN"/>
        </w:rPr>
      </w:pPr>
    </w:p>
    <w:p w14:paraId="34964BA2">
      <w:pPr>
        <w:tabs>
          <w:tab w:val="left" w:pos="4500"/>
        </w:tabs>
        <w:autoSpaceDE w:val="0"/>
        <w:autoSpaceDN w:val="0"/>
        <w:adjustRightInd w:val="0"/>
        <w:spacing w:line="480" w:lineRule="auto"/>
        <w:rPr>
          <w:rFonts w:ascii="宋体" w:hAnsi="宋体"/>
          <w:color w:val="000000"/>
          <w:sz w:val="36"/>
          <w:szCs w:val="36"/>
          <w:lang w:val="zh-CN"/>
        </w:rPr>
      </w:pPr>
    </w:p>
    <w:p w14:paraId="6B436BA0">
      <w:pPr>
        <w:tabs>
          <w:tab w:val="left" w:pos="4500"/>
        </w:tabs>
        <w:autoSpaceDE w:val="0"/>
        <w:autoSpaceDN w:val="0"/>
        <w:adjustRightInd w:val="0"/>
        <w:spacing w:line="480" w:lineRule="auto"/>
        <w:jc w:val="center"/>
        <w:rPr>
          <w:rFonts w:ascii="宋体" w:hAnsi="宋体"/>
          <w:color w:val="000000"/>
          <w:sz w:val="36"/>
          <w:szCs w:val="36"/>
        </w:rPr>
      </w:pPr>
      <w:r>
        <w:rPr>
          <w:rFonts w:hint="eastAsia" w:ascii="宋体" w:hAnsi="宋体"/>
          <w:color w:val="000000"/>
          <w:sz w:val="36"/>
          <w:szCs w:val="36"/>
        </w:rPr>
        <w:t>2026年05月</w:t>
      </w:r>
    </w:p>
    <w:p w14:paraId="4E59CBAE">
      <w:pPr>
        <w:tabs>
          <w:tab w:val="left" w:pos="4500"/>
        </w:tabs>
        <w:autoSpaceDE w:val="0"/>
        <w:autoSpaceDN w:val="0"/>
        <w:adjustRightInd w:val="0"/>
        <w:spacing w:line="480" w:lineRule="auto"/>
        <w:rPr>
          <w:rFonts w:ascii="宋体" w:hAnsi="宋体"/>
          <w:color w:val="000000"/>
          <w:sz w:val="36"/>
          <w:szCs w:val="36"/>
          <w:lang w:val="zh-CN"/>
        </w:rPr>
      </w:pPr>
    </w:p>
    <w:p w14:paraId="0C12D9CC">
      <w:pPr>
        <w:tabs>
          <w:tab w:val="left" w:pos="4500"/>
        </w:tabs>
        <w:autoSpaceDE w:val="0"/>
        <w:autoSpaceDN w:val="0"/>
        <w:adjustRightInd w:val="0"/>
        <w:spacing w:line="480" w:lineRule="auto"/>
        <w:rPr>
          <w:rFonts w:ascii="宋体" w:hAnsi="宋体"/>
          <w:color w:val="000000"/>
          <w:sz w:val="36"/>
          <w:szCs w:val="36"/>
          <w:lang w:val="zh-CN"/>
        </w:rPr>
      </w:pPr>
    </w:p>
    <w:p w14:paraId="60ABD1D3">
      <w:pPr>
        <w:rPr>
          <w:lang w:val="zh-CN"/>
        </w:rPr>
      </w:pPr>
      <w:bookmarkStart w:id="0" w:name="_Toc465785684"/>
      <w:r>
        <w:rPr>
          <w:lang w:val="zh-CN"/>
        </w:rPr>
        <w:br w:type="page"/>
      </w:r>
      <w:bookmarkEnd w:id="0"/>
    </w:p>
    <w:p w14:paraId="11069122"/>
    <w:p w14:paraId="10CD45C8">
      <w:pPr>
        <w:spacing w:before="156" w:beforeLines="50" w:line="360" w:lineRule="auto"/>
        <w:rPr>
          <w:rFonts w:ascii="宋体" w:hAnsi="宋体" w:cs="仿宋_GB2312"/>
          <w:b/>
          <w:bCs/>
          <w:color w:val="000000"/>
          <w:sz w:val="28"/>
          <w:szCs w:val="28"/>
        </w:rPr>
      </w:pPr>
      <w:bookmarkStart w:id="1" w:name="_Toc465785687"/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一、项目概述</w:t>
      </w:r>
    </w:p>
    <w:p w14:paraId="4DEDE730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满足医院行政办公、学术交流、远程会议、培训宣讲、应急指挥等多场景使用需求，提升会议管理智能化、信息化水平，我院拟建设智能会议管理平台+多会议室统一管控体系，实现会议预约、设备联动、信息发布、钉钉集成、统一调度等功能，保障系统稳定、易用、可扩展，满足医院日常运营与信息化建设要求。</w:t>
      </w:r>
    </w:p>
    <w:p w14:paraId="3332A3CC">
      <w:pPr>
        <w:numPr>
          <w:ilvl w:val="0"/>
          <w:numId w:val="2"/>
        </w:numPr>
        <w:spacing w:before="156" w:beforeLines="50" w:line="360" w:lineRule="auto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商务要求（</w:t>
      </w:r>
      <w:r>
        <w:rPr>
          <w:rFonts w:hint="eastAsia" w:ascii="宋体" w:hAnsi="宋体" w:cs="仿宋_GB2312"/>
          <w:b/>
          <w:bCs/>
          <w:color w:val="000000"/>
          <w:sz w:val="28"/>
          <w:szCs w:val="28"/>
          <w:lang w:val="zh-CN"/>
        </w:rPr>
        <w:t>★为必须项，不满足作废标处理</w:t>
      </w: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）</w:t>
      </w:r>
    </w:p>
    <w:p w14:paraId="0AE940A9">
      <w:pPr>
        <w:spacing w:line="560" w:lineRule="exact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1）培训要求：项目实施结束后，在接到采购人培训指令时，应在采购人规定的时间到达培训地点，对采购人相关管理人员进行免费现场培训</w:t>
      </w:r>
      <w:r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提供不少于 3人/天的培训，采购人经过培训后，应能熟练掌握使用方法，独立完成日常的维护工作，掌握日常运行情况并能及时了解并排除大部分的日常故障。</w:t>
      </w:r>
    </w:p>
    <w:p w14:paraId="7409C7A4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2）</w:t>
      </w:r>
      <w:r>
        <w:rPr>
          <w:rFonts w:hint="eastAsia" w:ascii="宋体" w:hAnsi="宋体" w:cs="仿宋_GB2312"/>
          <w:b/>
          <w:bCs/>
          <w:color w:val="000000"/>
          <w:sz w:val="28"/>
          <w:szCs w:val="28"/>
          <w:lang w:val="zh-CN"/>
        </w:rPr>
        <w:t>★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供应商须提供所投智能会议管理平台、会议门牌等核心产品原厂商授权函及售后服务承诺。</w:t>
      </w:r>
    </w:p>
    <w:p w14:paraId="480ED3F9">
      <w:pPr>
        <w:spacing w:before="156" w:beforeLines="50" w:line="360" w:lineRule="auto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三、技术实施要求</w:t>
      </w:r>
    </w:p>
    <w:p w14:paraId="71C075D0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1、平台采用B/S架构，支持电脑端、移动端、大屏端统一展示与管理。</w:t>
      </w:r>
    </w:p>
    <w:p w14:paraId="7F748DF7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2、支持会议预约、签到、联动控制、设备状态可视化、历史记录查询、统计分析。</w:t>
      </w:r>
    </w:p>
    <w:p w14:paraId="35774207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3、会议门牌支持Android系统、1080P分辨率、十点触控、人脸验证准确率＞99%。</w:t>
      </w:r>
    </w:p>
    <w:p w14:paraId="3B2CE5C7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4、钉钉集成需满足外网域名访问要求，实现组织同步、消息推送、待办提醒。</w:t>
      </w:r>
    </w:p>
    <w:p w14:paraId="4477D7F6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5、系统具备完善权限管理、操作日志、数据备份，符合医院信息安全管理规范。</w:t>
      </w:r>
    </w:p>
    <w:p w14:paraId="0D6DABBF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6、提供标准接口，支持后续与医院信息平台、应急指挥系统等扩展对接。</w:t>
      </w:r>
    </w:p>
    <w:p w14:paraId="04494DC4">
      <w:pPr>
        <w:spacing w:before="156" w:beforeLines="50" w:line="360" w:lineRule="auto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四、项目实施要求</w:t>
      </w:r>
    </w:p>
    <w:p w14:paraId="04ED3D2D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项目实施时间：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签订合同后30日内完成系统部署、安装调试及培训，并接受验收。</w:t>
      </w:r>
    </w:p>
    <w:p w14:paraId="71D94482"/>
    <w:p w14:paraId="62BE9001">
      <w:pPr>
        <w:spacing w:before="156" w:beforeLines="50" w:line="360" w:lineRule="auto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五、付款条件</w:t>
      </w:r>
    </w:p>
    <w:p w14:paraId="25EB90E2"/>
    <w:bookmarkEnd w:id="1"/>
    <w:p w14:paraId="5E01EE7D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验收合格后，支付合同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总额90%，一年后支付</w:t>
      </w:r>
      <w:r>
        <w:rPr>
          <w:rFonts w:hint="eastAsia" w:ascii="宋体" w:hAnsi="宋体" w:cs="仿宋_GB2312"/>
          <w:color w:val="000000"/>
          <w:sz w:val="28"/>
          <w:szCs w:val="28"/>
        </w:rPr>
        <w:t>合同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总额10%</w:t>
      </w:r>
      <w:r>
        <w:rPr>
          <w:rFonts w:hint="eastAsia" w:ascii="宋体" w:hAnsi="宋体" w:cs="仿宋_GB2312"/>
          <w:color w:val="000000"/>
          <w:sz w:val="28"/>
          <w:szCs w:val="28"/>
        </w:rPr>
        <w:t>。</w:t>
      </w:r>
    </w:p>
    <w:p w14:paraId="39075201">
      <w:pPr>
        <w:spacing w:before="156" w:beforeLines="50" w:line="360" w:lineRule="auto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六、现场调研</w:t>
      </w:r>
    </w:p>
    <w:p w14:paraId="129D275A"/>
    <w:p w14:paraId="373DEC1E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项目具体情况请查看现场，联系电话：唐工 13222777718</w:t>
      </w:r>
    </w:p>
    <w:p w14:paraId="76D00703"/>
    <w:p w14:paraId="478F7A77">
      <w:r>
        <w:br w:type="page"/>
      </w:r>
    </w:p>
    <w:p w14:paraId="685705FC"/>
    <w:p w14:paraId="2F268E1B">
      <w:pPr>
        <w:numPr>
          <w:ilvl w:val="0"/>
          <w:numId w:val="3"/>
        </w:numPr>
        <w:adjustRightInd w:val="0"/>
        <w:snapToGrid w:val="0"/>
        <w:spacing w:line="360" w:lineRule="auto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技术服务要求</w:t>
      </w:r>
    </w:p>
    <w:p w14:paraId="07AF3687">
      <w:pPr>
        <w:numPr>
          <w:ilvl w:val="1"/>
          <w:numId w:val="3"/>
        </w:numPr>
        <w:adjustRightInd w:val="0"/>
        <w:snapToGrid w:val="0"/>
        <w:spacing w:before="312" w:beforeLines="100" w:line="360" w:lineRule="auto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智能会议管理平台建设</w:t>
      </w:r>
    </w:p>
    <w:p w14:paraId="3345E431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本项目需建设一套智能会议管理平台，满足医院会议预约、统一管控、设备运维、场景联动、可视化管理等全流程应用，平台功能要求如下：</w:t>
      </w:r>
    </w:p>
    <w:p w14:paraId="03DD2471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1、基础管理：支持用户、人员、组织、角色、区域统一管理，可配置权限与角色绑定。</w:t>
      </w:r>
    </w:p>
    <w:p w14:paraId="55CBBB9F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2、会议室管理：支持会议室增删改查、批量管理、参数配置、二维码生成、设备与场景绑定。</w:t>
      </w:r>
    </w:p>
    <w:p w14:paraId="03E9A1ED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3、设备接入与管控：兼容会议门牌、会议平板、中控主机等设备，支持设备状态监控、远程控制、参数配置、升级与壁纸推送。</w:t>
      </w:r>
    </w:p>
    <w:p w14:paraId="34F5A870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4、会议预约：支持会议预定、规则配置、签到管理、审批流程、周期会议与间隔控制。</w:t>
      </w:r>
    </w:p>
    <w:p w14:paraId="4F4B9206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5、联动与通知：支持钉钉/企业微信/邮件/短信多渠道通知，可同步组织架构。</w:t>
      </w:r>
    </w:p>
    <w:p w14:paraId="212DD902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6、场景与展示：支持门牌模板编辑下发、场景触发规则配置、会议类型与标签自定义。</w:t>
      </w:r>
    </w:p>
    <w:p w14:paraId="76EAD99F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7、运维与看板：提供设备看板、在线状态统计、远程运维、会议室巡检与异常告警。</w:t>
      </w:r>
    </w:p>
    <w:p w14:paraId="35336A7D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8、扩展能力：支持文件库管理、系统对接配置、权限组同步、数据导入导出。</w:t>
      </w:r>
    </w:p>
    <w:p w14:paraId="52559BCA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、可视化多条件预定：支持会议室已经预定的时间采用不同颜色标记，支持按照区域、时间、会议室类型、会议室设备、会议室大小/容量等条件进行会议室筛选。支持检测所选参会人员的时间冲突，并给出冲突提示，提示包含冲突时间信息。</w:t>
      </w:r>
    </w:p>
    <w:p w14:paraId="35754DEE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、运行环境：平台部署于医院虚拟机，服务器资源不低于16核32G、1T硬盘，由院方提供。</w:t>
      </w:r>
    </w:p>
    <w:p w14:paraId="35064A30">
      <w:pPr>
        <w:numPr>
          <w:ilvl w:val="1"/>
          <w:numId w:val="3"/>
        </w:numPr>
        <w:adjustRightInd w:val="0"/>
        <w:snapToGrid w:val="0"/>
        <w:spacing w:before="312" w:beforeLines="100" w:line="360" w:lineRule="auto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钉钉系统对接</w:t>
      </w:r>
    </w:p>
    <w:p w14:paraId="56E8687F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平台需与医院钉钉办公系统深度集成，实现便捷化、一体化办公体验，具体要求：</w:t>
      </w:r>
    </w:p>
    <w:p w14:paraId="2A017F97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1、组织人员同步：支持钉钉组织架构、人员信息自动/手动同步至会议管理平台。</w:t>
      </w:r>
    </w:p>
    <w:p w14:paraId="1688869F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2、单点登录：支持钉钉移动端、PC客户端免密登录会议平台。</w:t>
      </w:r>
    </w:p>
    <w:p w14:paraId="0EA12F2C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3、消息推送：支持会议预定、取消、修改、开始提醒、未签到提醒、审批通知、回执通知、视频会议通知等全场景消息推送。</w:t>
      </w:r>
    </w:p>
    <w:p w14:paraId="589B614E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4、待办与审批：支持审批任务待办生成、消息直达与快速处理。</w:t>
      </w:r>
    </w:p>
    <w:p w14:paraId="5BF0E1A0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5、日程同步：支持会议信息自动同步至钉钉个人日程。</w:t>
      </w:r>
    </w:p>
    <w:p w14:paraId="430C8D5E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6、扫码签到：支持钉钉扫码完成会议签到。</w:t>
      </w:r>
    </w:p>
    <w:p w14:paraId="21E9A6E1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7、对接条件：会议平台服务器需具备外网可访问域名，满足钉钉集成要求。</w:t>
      </w:r>
    </w:p>
    <w:p w14:paraId="1ADBE895">
      <w:pPr>
        <w:numPr>
          <w:ilvl w:val="1"/>
          <w:numId w:val="3"/>
        </w:numPr>
        <w:adjustRightInd w:val="0"/>
        <w:snapToGrid w:val="0"/>
        <w:spacing w:before="312" w:beforeLines="100" w:line="360" w:lineRule="auto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会议门牌建设</w:t>
      </w:r>
    </w:p>
    <w:p w14:paraId="2D89D9B2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本次需配置智能会议门牌，硬件与性能要求如下：</w:t>
      </w:r>
    </w:p>
    <w:p w14:paraId="54013541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1、屏幕尺寸：≥15.6英寸，分辨率≥1920*1080</w:t>
      </w:r>
    </w:p>
    <w:p w14:paraId="4D64E33E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、系统不低于Android 12.0，内存≥ 2 G，存储≥16 G</w:t>
      </w:r>
    </w:p>
    <w:p w14:paraId="326E9931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3、设备支持电容触控，支持同时十点触控</w:t>
      </w:r>
    </w:p>
    <w:p w14:paraId="57F7B435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、设备有氛围灯功能，氛围灯的红、绿、蓝3种颜色可以切换。</w:t>
      </w:r>
    </w:p>
    <w:p w14:paraId="54C93310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5、内置宽动态摄像机头，摄像头分辨率不低于1920*1080;摄像头视场角：水平≥80°，对角≥120°。</w:t>
      </w:r>
    </w:p>
    <w:p w14:paraId="45B8D689">
      <w:pPr>
        <w:spacing w:line="560" w:lineRule="exact"/>
        <w:ind w:firstLine="560" w:firstLineChars="200"/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6、支持typeA、typeB卡进行刷卡操作；IC卡感应距离可达20mm；刷卡速度不大于1秒。</w:t>
      </w:r>
    </w:p>
    <w:p w14:paraId="2C5F66A4">
      <w:pPr>
        <w:pStyle w:val="13"/>
        <w:adjustRightInd w:val="0"/>
        <w:snapToGrid w:val="0"/>
        <w:spacing w:before="0" w:after="0" w:line="360" w:lineRule="auto"/>
        <w:ind w:left="420"/>
        <w:rPr>
          <w:sz w:val="24"/>
          <w:szCs w:val="24"/>
        </w:rPr>
      </w:pPr>
    </w:p>
    <w:sectPr>
      <w:pgSz w:w="11906" w:h="16838"/>
      <w:pgMar w:top="1383" w:right="1417" w:bottom="1383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DAF238"/>
    <w:multiLevelType w:val="multilevel"/>
    <w:tmpl w:val="ABDAF238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 w:ascii="宋体" w:hAnsi="宋体" w:eastAsia="宋体" w:cs="Times New Roman"/>
        <w:sz w:val="30"/>
        <w:szCs w:val="30"/>
      </w:rPr>
    </w:lvl>
    <w:lvl w:ilvl="1" w:tentative="0">
      <w:start w:val="1"/>
      <w:numFmt w:val="decimal"/>
      <w:pStyle w:val="3"/>
      <w:suff w:val="space"/>
      <w:lvlText w:val="%1.%2."/>
      <w:lvlJc w:val="left"/>
      <w:pPr>
        <w:ind w:left="567" w:hanging="567"/>
      </w:pPr>
      <w:rPr>
        <w:rFonts w:hint="default" w:ascii="宋体" w:hAnsi="宋体" w:eastAsia="宋体" w:cs="Times New Roman"/>
        <w:sz w:val="28"/>
        <w:szCs w:val="28"/>
      </w:rPr>
    </w:lvl>
    <w:lvl w:ilvl="2" w:tentative="0">
      <w:start w:val="1"/>
      <w:numFmt w:val="decimal"/>
      <w:suff w:val="space"/>
      <w:lvlText w:val="%1.%2.%3."/>
      <w:lvlJc w:val="left"/>
      <w:pPr>
        <w:ind w:left="709" w:hanging="709"/>
      </w:pPr>
      <w:rPr>
        <w:rFonts w:hint="default" w:ascii="宋体" w:hAnsi="宋体" w:eastAsia="宋体" w:cs="Times New Roman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850" w:hanging="850"/>
      </w:pPr>
      <w:rPr>
        <w:rFonts w:hint="default" w:ascii="宋体" w:hAnsi="宋体" w:eastAsia="宋体" w:cs="Times New Roman"/>
        <w:sz w:val="24"/>
        <w:szCs w:val="24"/>
      </w:rPr>
    </w:lvl>
    <w:lvl w:ilvl="4" w:tentative="0">
      <w:start w:val="1"/>
      <w:numFmt w:val="decimal"/>
      <w:suff w:val="space"/>
      <w:lvlText w:val="%1.%2.%3.%4.%5."/>
      <w:lvlJc w:val="left"/>
      <w:pPr>
        <w:ind w:left="991" w:hanging="991"/>
      </w:pPr>
      <w:rPr>
        <w:rFonts w:hint="default" w:ascii="宋体" w:hAnsi="宋体" w:eastAsia="宋体" w:cs="Times New Roman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D7E0C81B"/>
    <w:multiLevelType w:val="multilevel"/>
    <w:tmpl w:val="D7E0C81B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  <w:lang w:val="en-US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2">
    <w:nsid w:val="7F1C4EEC"/>
    <w:multiLevelType w:val="singleLevel"/>
    <w:tmpl w:val="7F1C4EE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wMDVmMjdjZjgzNDg4MjYxMTdiOWQ1YmE2MTY3MzQifQ=="/>
  </w:docVars>
  <w:rsids>
    <w:rsidRoot w:val="61F8231B"/>
    <w:rsid w:val="001365AF"/>
    <w:rsid w:val="00237125"/>
    <w:rsid w:val="00305651"/>
    <w:rsid w:val="004744F4"/>
    <w:rsid w:val="006156D0"/>
    <w:rsid w:val="006A7EC5"/>
    <w:rsid w:val="006E32D7"/>
    <w:rsid w:val="00731E37"/>
    <w:rsid w:val="00910BD6"/>
    <w:rsid w:val="00990779"/>
    <w:rsid w:val="00A37B48"/>
    <w:rsid w:val="00B60952"/>
    <w:rsid w:val="00DE55CF"/>
    <w:rsid w:val="00E37F5A"/>
    <w:rsid w:val="00F00111"/>
    <w:rsid w:val="096F86D1"/>
    <w:rsid w:val="0A730DBF"/>
    <w:rsid w:val="13233A74"/>
    <w:rsid w:val="19FF6396"/>
    <w:rsid w:val="1FB9A404"/>
    <w:rsid w:val="2C194D12"/>
    <w:rsid w:val="2EDB1C22"/>
    <w:rsid w:val="32BF5229"/>
    <w:rsid w:val="33BF5C1F"/>
    <w:rsid w:val="37EF9001"/>
    <w:rsid w:val="3A6F5EC2"/>
    <w:rsid w:val="3AFE5705"/>
    <w:rsid w:val="3DEC7CB0"/>
    <w:rsid w:val="3DFE7B55"/>
    <w:rsid w:val="3F3B680E"/>
    <w:rsid w:val="3F6F281B"/>
    <w:rsid w:val="3F6F415C"/>
    <w:rsid w:val="4DE5F1DD"/>
    <w:rsid w:val="4E5F6805"/>
    <w:rsid w:val="5DFF8317"/>
    <w:rsid w:val="5DFFA75F"/>
    <w:rsid w:val="5FF76072"/>
    <w:rsid w:val="61F8231B"/>
    <w:rsid w:val="6393171D"/>
    <w:rsid w:val="67F65B04"/>
    <w:rsid w:val="689B65FE"/>
    <w:rsid w:val="6AFFC0C7"/>
    <w:rsid w:val="6EFE7DE8"/>
    <w:rsid w:val="6F1C9713"/>
    <w:rsid w:val="6F9D63FC"/>
    <w:rsid w:val="6FFE4AEA"/>
    <w:rsid w:val="72B67018"/>
    <w:rsid w:val="73FBFC59"/>
    <w:rsid w:val="76EF37A1"/>
    <w:rsid w:val="7B5E9FB5"/>
    <w:rsid w:val="7BAF6710"/>
    <w:rsid w:val="7BE1272E"/>
    <w:rsid w:val="7C5BD104"/>
    <w:rsid w:val="7D9F1FD2"/>
    <w:rsid w:val="7DFAF7B4"/>
    <w:rsid w:val="7DFFC870"/>
    <w:rsid w:val="7F7BF5AD"/>
    <w:rsid w:val="7F7EB2AF"/>
    <w:rsid w:val="7FED1700"/>
    <w:rsid w:val="7FEDE957"/>
    <w:rsid w:val="7FF5C64A"/>
    <w:rsid w:val="7FF7393A"/>
    <w:rsid w:val="7FFBEE90"/>
    <w:rsid w:val="8DDA9A33"/>
    <w:rsid w:val="8F9F27CB"/>
    <w:rsid w:val="96AD73C5"/>
    <w:rsid w:val="97FF20AA"/>
    <w:rsid w:val="9FFF4FA4"/>
    <w:rsid w:val="A9FEABCF"/>
    <w:rsid w:val="ABFA4394"/>
    <w:rsid w:val="B78F6DE0"/>
    <w:rsid w:val="BFF9AC9A"/>
    <w:rsid w:val="CED398E4"/>
    <w:rsid w:val="D6FBF305"/>
    <w:rsid w:val="DBAE9AD4"/>
    <w:rsid w:val="DCD27533"/>
    <w:rsid w:val="DFC3ECE9"/>
    <w:rsid w:val="EEF254CB"/>
    <w:rsid w:val="F1F5E634"/>
    <w:rsid w:val="F2FEC2EF"/>
    <w:rsid w:val="F3C68E2B"/>
    <w:rsid w:val="F3E838DE"/>
    <w:rsid w:val="F75FC132"/>
    <w:rsid w:val="F7FD0E39"/>
    <w:rsid w:val="F7FD5E29"/>
    <w:rsid w:val="F9B773B3"/>
    <w:rsid w:val="F9FF7E73"/>
    <w:rsid w:val="FA701602"/>
    <w:rsid w:val="FBF45707"/>
    <w:rsid w:val="FCBF34CD"/>
    <w:rsid w:val="FDBDE2D4"/>
    <w:rsid w:val="FDE12423"/>
    <w:rsid w:val="FDEA356A"/>
    <w:rsid w:val="FEFA4513"/>
    <w:rsid w:val="FF77D05E"/>
    <w:rsid w:val="FFD8B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semiHidden/>
    <w:unhideWhenUsed/>
    <w:qFormat/>
    <w:uiPriority w:val="0"/>
    <w:pPr>
      <w:numPr>
        <w:ilvl w:val="1"/>
        <w:numId w:val="1"/>
      </w:numPr>
      <w:tabs>
        <w:tab w:val="left" w:pos="0"/>
      </w:tabs>
      <w:spacing w:line="360" w:lineRule="auto"/>
      <w:outlineLvl w:val="1"/>
    </w:pPr>
    <w:rPr>
      <w:rFonts w:ascii="宋体" w:hAnsi="宋体"/>
      <w:b/>
      <w:sz w:val="28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120" w:after="120"/>
      <w:outlineLvl w:val="3"/>
    </w:pPr>
    <w:rPr>
      <w:rFonts w:ascii="Arial" w:hAnsi="Arial" w:eastAsia="黑体"/>
      <w:b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font3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3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14">
    <w:name w:val="页眉 字符"/>
    <w:basedOn w:val="9"/>
    <w:link w:val="6"/>
    <w:qFormat/>
    <w:uiPriority w:val="99"/>
    <w:rPr>
      <w:kern w:val="2"/>
      <w:sz w:val="18"/>
      <w:szCs w:val="18"/>
    </w:rPr>
  </w:style>
  <w:style w:type="character" w:customStyle="1" w:styleId="15">
    <w:name w:val="页脚 字符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1693</Words>
  <Characters>1777</Characters>
  <Lines>13</Lines>
  <Paragraphs>3</Paragraphs>
  <TotalTime>1</TotalTime>
  <ScaleCrop>false</ScaleCrop>
  <LinksUpToDate>false</LinksUpToDate>
  <CharactersWithSpaces>1783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2024-10-26T23:25:00Z</dcterms:created>
  <dc:creator>施吉利</dc:creator>
  <cp:lastModifiedBy>倪凌</cp:lastModifiedBy>
  <dcterms:modified xsi:type="dcterms:W3CDTF">2026-05-19T07:59:21Z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7A18FC6D2E6545BC830E2EFD98E8D387_13</vt:lpwstr>
  </property>
  <property fmtid="{D5CDD505-2E9C-101B-9397-08002B2CF9AE}" pid="4" name="KSOTemplateDocerSaveRecord">
    <vt:lpwstr>eyJoZGlkIjoiNzk0ZTk0MjFlZTQ0YWFhNmNhNjViMjQ0ZmE4NGIwOGMiLCJ1c2VySWQiOiI1NjY0NTU2MTAifQ==</vt:lpwstr>
  </property>
</Properties>
</file>