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1E817">
      <w:pPr>
        <w:jc w:val="center"/>
        <w:rPr>
          <w:rFonts w:hint="eastAsia" w:ascii="宋体" w:hAnsi="宋体"/>
          <w:b/>
          <w:sz w:val="44"/>
          <w:szCs w:val="44"/>
          <w:lang w:val="zh-CN"/>
        </w:rPr>
      </w:pPr>
      <w:r>
        <w:rPr>
          <w:rFonts w:hint="eastAsia" w:ascii="宋体" w:hAnsi="宋体"/>
          <w:b/>
          <w:sz w:val="44"/>
          <w:szCs w:val="44"/>
          <w:lang w:val="zh-CN"/>
        </w:rPr>
        <w:t>江苏省第二中医院</w:t>
      </w:r>
      <w:r>
        <w:rPr>
          <w:rFonts w:hint="eastAsia" w:ascii="宋体" w:hAnsi="宋体"/>
          <w:b/>
          <w:sz w:val="44"/>
          <w:szCs w:val="44"/>
        </w:rPr>
        <w:t>数据中心</w:t>
      </w:r>
      <w:r>
        <w:rPr>
          <w:rFonts w:hint="eastAsia" w:ascii="宋体" w:hAnsi="宋体"/>
          <w:b/>
          <w:sz w:val="44"/>
          <w:szCs w:val="44"/>
          <w:lang w:val="en-US" w:eastAsia="zh-CN"/>
        </w:rPr>
        <w:t>UPS改造</w:t>
      </w:r>
      <w:r>
        <w:rPr>
          <w:rFonts w:hint="eastAsia" w:ascii="宋体" w:hAnsi="宋体"/>
          <w:b/>
          <w:sz w:val="44"/>
          <w:szCs w:val="44"/>
          <w:lang w:val="zh-CN"/>
        </w:rPr>
        <w:t>项目</w:t>
      </w:r>
    </w:p>
    <w:p w14:paraId="7D36F3D3">
      <w:pPr>
        <w:jc w:val="center"/>
        <w:rPr>
          <w:rFonts w:ascii="宋体" w:hAnsi="宋体"/>
          <w:color w:val="000000"/>
          <w:sz w:val="44"/>
          <w:szCs w:val="44"/>
          <w:lang w:val="zh-CN"/>
        </w:rPr>
      </w:pPr>
      <w:r>
        <w:rPr>
          <w:rFonts w:hint="eastAsia" w:ascii="宋体" w:hAnsi="宋体"/>
          <w:b/>
          <w:sz w:val="44"/>
          <w:szCs w:val="44"/>
          <w:lang w:val="zh-CN"/>
        </w:rPr>
        <w:t>调研内容</w:t>
      </w:r>
    </w:p>
    <w:p w14:paraId="5909C25D">
      <w:pPr>
        <w:autoSpaceDE w:val="0"/>
        <w:autoSpaceDN w:val="0"/>
        <w:adjustRightInd w:val="0"/>
        <w:jc w:val="left"/>
        <w:rPr>
          <w:rFonts w:ascii="宋体" w:hAnsi="宋体"/>
          <w:color w:val="000000"/>
          <w:sz w:val="32"/>
          <w:szCs w:val="32"/>
          <w:lang w:val="zh-CN"/>
        </w:rPr>
      </w:pPr>
    </w:p>
    <w:p w14:paraId="2F017589">
      <w:pPr>
        <w:autoSpaceDE w:val="0"/>
        <w:autoSpaceDN w:val="0"/>
        <w:adjustRightInd w:val="0"/>
        <w:jc w:val="left"/>
        <w:rPr>
          <w:rFonts w:ascii="宋体" w:hAnsi="宋体"/>
          <w:color w:val="000000"/>
          <w:sz w:val="32"/>
          <w:szCs w:val="32"/>
          <w:lang w:val="zh-CN"/>
        </w:rPr>
      </w:pPr>
    </w:p>
    <w:p w14:paraId="05CD05CE">
      <w:pPr>
        <w:spacing w:line="480" w:lineRule="auto"/>
        <w:rPr>
          <w:rFonts w:ascii="宋体" w:hAnsi="宋体"/>
          <w:sz w:val="32"/>
          <w:szCs w:val="32"/>
        </w:rPr>
      </w:pPr>
    </w:p>
    <w:p w14:paraId="35074F34">
      <w:pPr>
        <w:tabs>
          <w:tab w:val="left" w:pos="4500"/>
        </w:tabs>
        <w:autoSpaceDE w:val="0"/>
        <w:autoSpaceDN w:val="0"/>
        <w:adjustRightInd w:val="0"/>
        <w:jc w:val="center"/>
        <w:rPr>
          <w:rFonts w:ascii="宋体" w:hAnsi="宋体"/>
          <w:color w:val="000000"/>
          <w:sz w:val="44"/>
          <w:szCs w:val="44"/>
          <w:lang w:val="zh-CN"/>
        </w:rPr>
      </w:pPr>
    </w:p>
    <w:p w14:paraId="62017CF0">
      <w:pPr>
        <w:tabs>
          <w:tab w:val="left" w:pos="4500"/>
        </w:tabs>
        <w:autoSpaceDE w:val="0"/>
        <w:autoSpaceDN w:val="0"/>
        <w:adjustRightInd w:val="0"/>
        <w:jc w:val="center"/>
        <w:rPr>
          <w:rFonts w:ascii="宋体" w:hAnsi="宋体"/>
          <w:color w:val="000000"/>
          <w:sz w:val="44"/>
          <w:szCs w:val="44"/>
          <w:lang w:val="zh-CN"/>
        </w:rPr>
      </w:pPr>
    </w:p>
    <w:p w14:paraId="2809A4CC">
      <w:pPr>
        <w:tabs>
          <w:tab w:val="left" w:pos="4500"/>
        </w:tabs>
        <w:autoSpaceDE w:val="0"/>
        <w:autoSpaceDN w:val="0"/>
        <w:adjustRightInd w:val="0"/>
        <w:jc w:val="center"/>
        <w:rPr>
          <w:rFonts w:ascii="宋体" w:hAnsi="宋体"/>
          <w:color w:val="000000"/>
          <w:sz w:val="44"/>
          <w:szCs w:val="44"/>
          <w:lang w:val="zh-CN"/>
        </w:rPr>
      </w:pPr>
    </w:p>
    <w:p w14:paraId="0273D36A">
      <w:pPr>
        <w:tabs>
          <w:tab w:val="left" w:pos="4500"/>
        </w:tabs>
        <w:autoSpaceDE w:val="0"/>
        <w:autoSpaceDN w:val="0"/>
        <w:adjustRightInd w:val="0"/>
        <w:spacing w:line="480" w:lineRule="auto"/>
        <w:rPr>
          <w:rFonts w:ascii="宋体" w:hAnsi="宋体"/>
          <w:color w:val="000000"/>
          <w:sz w:val="36"/>
          <w:szCs w:val="36"/>
          <w:lang w:val="zh-CN"/>
        </w:rPr>
      </w:pPr>
    </w:p>
    <w:p w14:paraId="6C3BC11E">
      <w:pPr>
        <w:tabs>
          <w:tab w:val="left" w:pos="4500"/>
        </w:tabs>
        <w:autoSpaceDE w:val="0"/>
        <w:autoSpaceDN w:val="0"/>
        <w:adjustRightInd w:val="0"/>
        <w:spacing w:line="480" w:lineRule="auto"/>
        <w:rPr>
          <w:rFonts w:ascii="宋体" w:hAnsi="宋体"/>
          <w:color w:val="000000"/>
          <w:sz w:val="36"/>
          <w:szCs w:val="36"/>
          <w:lang w:val="zh-CN"/>
        </w:rPr>
      </w:pPr>
    </w:p>
    <w:p w14:paraId="68782CBE">
      <w:pPr>
        <w:tabs>
          <w:tab w:val="left" w:pos="4500"/>
        </w:tabs>
        <w:autoSpaceDE w:val="0"/>
        <w:autoSpaceDN w:val="0"/>
        <w:adjustRightInd w:val="0"/>
        <w:spacing w:line="480" w:lineRule="auto"/>
        <w:rPr>
          <w:rFonts w:ascii="宋体" w:hAnsi="宋体"/>
          <w:color w:val="000000"/>
          <w:sz w:val="36"/>
          <w:szCs w:val="36"/>
          <w:lang w:val="zh-CN"/>
        </w:rPr>
      </w:pPr>
    </w:p>
    <w:p w14:paraId="46B31DCA">
      <w:pPr>
        <w:tabs>
          <w:tab w:val="left" w:pos="4500"/>
        </w:tabs>
        <w:autoSpaceDE w:val="0"/>
        <w:autoSpaceDN w:val="0"/>
        <w:adjustRightInd w:val="0"/>
        <w:spacing w:line="480" w:lineRule="auto"/>
        <w:rPr>
          <w:rFonts w:ascii="宋体" w:hAnsi="宋体"/>
          <w:color w:val="000000"/>
          <w:sz w:val="36"/>
          <w:szCs w:val="36"/>
          <w:lang w:val="zh-CN"/>
        </w:rPr>
      </w:pPr>
    </w:p>
    <w:p w14:paraId="74286A56">
      <w:pPr>
        <w:pStyle w:val="3"/>
        <w:spacing w:before="0" w:after="0" w:line="560" w:lineRule="exact"/>
        <w:ind w:firstLine="3092" w:firstLineChars="700"/>
        <w:rPr>
          <w:rFonts w:ascii="宋体" w:hAnsi="宋体"/>
        </w:rPr>
      </w:pPr>
      <w:r>
        <w:rPr>
          <w:rFonts w:hint="eastAsia" w:ascii="宋体" w:hAnsi="宋体"/>
        </w:rPr>
        <w:t>2026年0</w:t>
      </w:r>
      <w:r>
        <w:rPr>
          <w:rFonts w:hint="eastAsia" w:ascii="宋体" w:hAnsi="宋体"/>
          <w:lang w:val="en-US" w:eastAsia="zh-CN"/>
        </w:rPr>
        <w:t>4</w:t>
      </w:r>
      <w:r>
        <w:rPr>
          <w:rFonts w:hint="eastAsia" w:ascii="宋体" w:hAnsi="宋体"/>
        </w:rPr>
        <w:t>月</w:t>
      </w:r>
    </w:p>
    <w:p w14:paraId="717030D0">
      <w:pPr>
        <w:rPr>
          <w:rFonts w:hint="eastAsia" w:ascii="宋体" w:hAnsi="宋体" w:cs="仿宋_GB2312"/>
          <w:b/>
          <w:bCs/>
          <w:color w:val="000000"/>
          <w:sz w:val="28"/>
          <w:szCs w:val="28"/>
        </w:rPr>
      </w:pPr>
      <w:bookmarkStart w:id="0" w:name="_Toc465785687"/>
      <w:r>
        <w:rPr>
          <w:rFonts w:hint="eastAsia" w:ascii="宋体" w:hAnsi="宋体" w:cs="仿宋_GB2312"/>
          <w:b/>
          <w:bCs/>
          <w:color w:val="000000"/>
          <w:sz w:val="28"/>
          <w:szCs w:val="28"/>
        </w:rPr>
        <w:br w:type="page"/>
      </w:r>
    </w:p>
    <w:p w14:paraId="03D21597">
      <w:pPr>
        <w:spacing w:line="560" w:lineRule="exact"/>
        <w:rPr>
          <w:rFonts w:ascii="宋体" w:hAnsi="宋体" w:cs="仿宋_GB2312"/>
          <w:b/>
          <w:bCs/>
          <w:color w:val="000000"/>
          <w:sz w:val="28"/>
          <w:szCs w:val="28"/>
        </w:rPr>
      </w:pPr>
      <w:r>
        <w:rPr>
          <w:rFonts w:hint="eastAsia" w:ascii="宋体" w:hAnsi="宋体" w:cs="仿宋_GB2312"/>
          <w:b/>
          <w:bCs/>
          <w:color w:val="000000"/>
          <w:sz w:val="28"/>
          <w:szCs w:val="28"/>
        </w:rPr>
        <w:t>一、产品清单</w:t>
      </w:r>
    </w:p>
    <w:tbl>
      <w:tblPr>
        <w:tblStyle w:val="5"/>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95"/>
        <w:gridCol w:w="2239"/>
        <w:gridCol w:w="4907"/>
        <w:gridCol w:w="581"/>
      </w:tblGrid>
      <w:tr w14:paraId="4CEB2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blHeader/>
          <w:jc w:val="center"/>
        </w:trPr>
        <w:tc>
          <w:tcPr>
            <w:tcW w:w="795" w:type="dxa"/>
            <w:tcBorders>
              <w:top w:val="single" w:color="000000" w:sz="4" w:space="0"/>
              <w:left w:val="single" w:color="000000" w:sz="4" w:space="0"/>
              <w:bottom w:val="single" w:color="000000" w:sz="4" w:space="0"/>
              <w:right w:val="single" w:color="000000" w:sz="4" w:space="0"/>
            </w:tcBorders>
            <w:shd w:val="clear" w:color="auto" w:fill="969696"/>
            <w:noWrap w:val="0"/>
            <w:vAlign w:val="center"/>
          </w:tcPr>
          <w:p w14:paraId="2C3B81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969696"/>
            <w:noWrap w:val="0"/>
            <w:vAlign w:val="center"/>
          </w:tcPr>
          <w:p w14:paraId="6BAEC9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名称</w:t>
            </w:r>
          </w:p>
        </w:tc>
        <w:tc>
          <w:tcPr>
            <w:tcW w:w="4907" w:type="dxa"/>
            <w:tcBorders>
              <w:top w:val="single" w:color="000000" w:sz="4" w:space="0"/>
              <w:left w:val="single" w:color="000000" w:sz="4" w:space="0"/>
              <w:bottom w:val="single" w:color="000000" w:sz="4" w:space="0"/>
              <w:right w:val="single" w:color="000000" w:sz="4" w:space="0"/>
            </w:tcBorders>
            <w:shd w:val="clear" w:color="auto" w:fill="969696"/>
            <w:noWrap w:val="0"/>
            <w:vAlign w:val="center"/>
          </w:tcPr>
          <w:p w14:paraId="1AE711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设备说明</w:t>
            </w:r>
          </w:p>
        </w:tc>
        <w:tc>
          <w:tcPr>
            <w:tcW w:w="581" w:type="dxa"/>
            <w:tcBorders>
              <w:top w:val="single" w:color="000000" w:sz="4" w:space="0"/>
              <w:left w:val="single" w:color="000000" w:sz="4" w:space="0"/>
              <w:bottom w:val="single" w:color="000000" w:sz="4" w:space="0"/>
              <w:right w:val="single" w:color="000000" w:sz="4" w:space="0"/>
            </w:tcBorders>
            <w:shd w:val="clear" w:color="auto" w:fill="969696"/>
            <w:noWrap w:val="0"/>
            <w:vAlign w:val="center"/>
          </w:tcPr>
          <w:p w14:paraId="3968F0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r>
      <w:tr w14:paraId="27AFF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470225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CD1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数字化温、湿度传感器</w:t>
            </w:r>
          </w:p>
        </w:tc>
        <w:tc>
          <w:tcPr>
            <w:tcW w:w="4907" w:type="dxa"/>
            <w:tcBorders>
              <w:top w:val="single" w:color="000000" w:sz="4" w:space="0"/>
              <w:left w:val="single" w:color="000000" w:sz="4" w:space="0"/>
              <w:bottom w:val="single" w:color="000000" w:sz="4" w:space="0"/>
              <w:right w:val="single" w:color="000000" w:sz="4" w:space="0"/>
            </w:tcBorders>
            <w:noWrap w:val="0"/>
            <w:vAlign w:val="center"/>
          </w:tcPr>
          <w:p w14:paraId="60BD16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1.工作电压：DC12V～DC24V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2.工作电流： &lt;30mA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3.通讯接口：串行输出RS485，MODBUS 协议输出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4.测量范围：温度：-40℃～80℃；湿度：0～100%rh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5.测量精度：温度±0.1℃；湿度：±1%rh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6.显示方式：LCD液晶屏点阵显示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7.安装方式：室内墙面安装，天花板吸顶安装、支持选配自带4个强力吸铁石可直接吸附安装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8.材料：ABS树脂；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9.▲检测报告认证机构须为中国合格评定国家认可委员会（CNAS）认证机构，提供符合要求的检测报告佐证和EMC及ROHS认证证书；</w:t>
            </w:r>
          </w:p>
        </w:tc>
        <w:tc>
          <w:tcPr>
            <w:tcW w:w="581" w:type="dxa"/>
            <w:tcBorders>
              <w:top w:val="single" w:color="000000" w:sz="4" w:space="0"/>
              <w:left w:val="single" w:color="000000" w:sz="4" w:space="0"/>
              <w:bottom w:val="single" w:color="000000" w:sz="4" w:space="0"/>
              <w:right w:val="single" w:color="000000" w:sz="4" w:space="0"/>
            </w:tcBorders>
            <w:noWrap w:val="0"/>
            <w:vAlign w:val="center"/>
          </w:tcPr>
          <w:p w14:paraId="775921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19162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606FFE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9EA2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UPS监控嵌入式软件</w:t>
            </w:r>
          </w:p>
        </w:tc>
        <w:tc>
          <w:tcPr>
            <w:tcW w:w="4907" w:type="dxa"/>
            <w:tcBorders>
              <w:top w:val="single" w:color="000000" w:sz="4" w:space="0"/>
              <w:left w:val="single" w:color="000000" w:sz="4" w:space="0"/>
              <w:bottom w:val="single" w:color="000000" w:sz="4" w:space="0"/>
              <w:right w:val="single" w:color="000000" w:sz="4" w:space="0"/>
            </w:tcBorders>
            <w:noWrap w:val="0"/>
            <w:vAlign w:val="center"/>
          </w:tcPr>
          <w:p w14:paraId="000D299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通讯接口及协议进行二次开发整合监控，实现对UPS主机的状态、输入、输出电压、电流、频率、功率因数、逆变器状态、负载、电池状态、旁路状态、报警等进行监控，具体监测的内容和控制的内容与提供的该型号通讯协议规定的完全一致。▲为避免版权纠纷，UPS监控软件应具有软件著作权证书及中国软件评测中心的检测报告</w:t>
            </w:r>
          </w:p>
        </w:tc>
        <w:tc>
          <w:tcPr>
            <w:tcW w:w="581" w:type="dxa"/>
            <w:tcBorders>
              <w:top w:val="single" w:color="000000" w:sz="4" w:space="0"/>
              <w:left w:val="single" w:color="000000" w:sz="4" w:space="0"/>
              <w:bottom w:val="single" w:color="000000" w:sz="4" w:space="0"/>
              <w:right w:val="single" w:color="000000" w:sz="4" w:space="0"/>
            </w:tcBorders>
            <w:noWrap w:val="0"/>
            <w:vAlign w:val="center"/>
          </w:tcPr>
          <w:p w14:paraId="3268E4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7D76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35111A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6F5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烟雾探测器</w:t>
            </w:r>
          </w:p>
        </w:tc>
        <w:tc>
          <w:tcPr>
            <w:tcW w:w="4907" w:type="dxa"/>
            <w:tcBorders>
              <w:top w:val="single" w:color="000000" w:sz="4" w:space="0"/>
              <w:left w:val="single" w:color="000000" w:sz="4" w:space="0"/>
              <w:bottom w:val="single" w:color="000000" w:sz="4" w:space="0"/>
              <w:right w:val="single" w:color="000000" w:sz="4" w:space="0"/>
            </w:tcBorders>
            <w:noWrap w:val="0"/>
            <w:vAlign w:val="center"/>
          </w:tcPr>
          <w:p w14:paraId="018D9BC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1.光电离子型烟雾探测器，光学迷宫设计、采用低功耗CMOS微处理器、具有手动测试、手动复位功能、开关量输出接口、吊顶安装；</w:t>
            </w:r>
          </w:p>
        </w:tc>
        <w:tc>
          <w:tcPr>
            <w:tcW w:w="581" w:type="dxa"/>
            <w:tcBorders>
              <w:top w:val="single" w:color="000000" w:sz="4" w:space="0"/>
              <w:left w:val="single" w:color="000000" w:sz="4" w:space="0"/>
              <w:bottom w:val="single" w:color="000000" w:sz="4" w:space="0"/>
              <w:right w:val="single" w:color="000000" w:sz="4" w:space="0"/>
            </w:tcBorders>
            <w:noWrap w:val="0"/>
            <w:vAlign w:val="center"/>
          </w:tcPr>
          <w:p w14:paraId="526FD1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2A071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114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AD58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漏水检测控制模块</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A3C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1、支持1路区域漏水检测，检测到漏水告警。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2、支持1路干接点输出。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3、支持选配RS485通讯，Modbus RTU 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4、支持1路漏水感应绳接入，最大支持 300 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5、电源具有过流过压和防反接功能。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 4 档漏水灵敏度，可通过三位拨码开关进行设置。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7、带工作状态、漏水状态指示灯。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8、电压范围 DC 9V-27V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9、为保证产品质量需提供EMC及ROHS认证证书。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设备的耐热及耐燃性要求：试验火焰按照GB/T5169.5-2020，材料未完全烧尽及火焰在30s内熄灭，需提供检测报告，检测报告认证机构须为中国计量认证（CMA），中国合格评定国家认可委员会（CNAS）双重认证机构，且检测标准符合GB4943.1-2022《音视频、信息技术和通信技术设备第1部分:安全要求》，检测报告复印件或证书复印件加盖原厂公章。</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93C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C3DC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64E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7EAB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漏水绳</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9840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缠绕型防腐蚀漏水绳、5M线长</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2CF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EC85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065F82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9A3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精密空调监控嵌入式软件</w:t>
            </w:r>
          </w:p>
        </w:tc>
        <w:tc>
          <w:tcPr>
            <w:tcW w:w="4907" w:type="dxa"/>
            <w:tcBorders>
              <w:top w:val="single" w:color="000000" w:sz="4" w:space="0"/>
              <w:left w:val="single" w:color="000000" w:sz="4" w:space="0"/>
              <w:bottom w:val="single" w:color="000000" w:sz="4" w:space="0"/>
              <w:right w:val="single" w:color="000000" w:sz="4" w:space="0"/>
            </w:tcBorders>
            <w:noWrap w:val="0"/>
            <w:vAlign w:val="center"/>
          </w:tcPr>
          <w:p w14:paraId="739477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精密空调提供的通讯接口及通讯协议进行二次解析整合监控、监控空调的风机、压缩机、加湿器、出回风温度等；在软件中做每台空调的界面、每台空调485接口接线、测试返回数据，写驱动程序、策略设置、阈值设置、报警设置、联动功能设置等工作，具体监测的内容和控制的内容与提供的该型号通讯协议规定的完全一致。▲需提供精密空调监控嵌入式软件的软件著作权证书或中国软件评测中心的检测报告</w:t>
            </w:r>
          </w:p>
        </w:tc>
        <w:tc>
          <w:tcPr>
            <w:tcW w:w="581" w:type="dxa"/>
            <w:tcBorders>
              <w:top w:val="single" w:color="000000" w:sz="4" w:space="0"/>
              <w:left w:val="single" w:color="000000" w:sz="4" w:space="0"/>
              <w:bottom w:val="single" w:color="000000" w:sz="4" w:space="0"/>
              <w:right w:val="single" w:color="000000" w:sz="4" w:space="0"/>
            </w:tcBorders>
            <w:noWrap w:val="0"/>
            <w:vAlign w:val="center"/>
          </w:tcPr>
          <w:p w14:paraId="7CD8C0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FAEA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1EBF11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3886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三相电力监测仪</w:t>
            </w:r>
          </w:p>
        </w:tc>
        <w:tc>
          <w:tcPr>
            <w:tcW w:w="4907" w:type="dxa"/>
            <w:tcBorders>
              <w:top w:val="single" w:color="000000" w:sz="4" w:space="0"/>
              <w:left w:val="single" w:color="000000" w:sz="4" w:space="0"/>
              <w:bottom w:val="single" w:color="000000" w:sz="4" w:space="0"/>
              <w:right w:val="single" w:color="000000" w:sz="4" w:space="0"/>
            </w:tcBorders>
            <w:noWrap w:val="0"/>
            <w:vAlign w:val="center"/>
          </w:tcPr>
          <w:p w14:paraId="6B2B9F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1.三相电量变送器，用于监测三相总市电输入，带 LCD 显示屏(调试使用) ,配合交流互感器使用。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准确度等级：有功≥1 级 ，无功≥ 2 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2.参比温度： 23℃±2℃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3.参比电压： 3×220V/380V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4.参比湿度： 40％~60％RH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5.电压正常测量范围： 0.8~ 1. 1Un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6.工作温度： - 10℃~50℃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7.每相电压回路功率消耗：≤1.5W、  2VA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8.每相电流回路功率消耗：≤1VA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9.极限工作温度： -40℃~70℃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10.运输及储存温度： -40℃~70℃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11.电流测量范围： 3×1.5(6)A、3×10(40)A、3×20(100)A、3×50(200)A、3×100(400)A等(与专用互感器配套使用)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12.年平均相对湿度：≤75％RH13、30d 相对湿度：≤95％RH14、在其他天偶然出现相对湿度：≤85％RH15、参比频率：≤50Hz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13.三相电力参数监控：电压、电流、功率、频率、功率因数、有功功率、无功功率、电度计量，RS485上联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需要提供检测报告，检测报告认证机构须为中国计量认证（CMA），中国合格评定国家认可委员会（CNAS）双重认证机构，且检测标准符合GB4943.1-2022《音视频、信息技术和通信技术设备第1部分:安全要求》，提供符合要求的检测报告佐证。</w:t>
            </w:r>
          </w:p>
        </w:tc>
        <w:tc>
          <w:tcPr>
            <w:tcW w:w="581" w:type="dxa"/>
            <w:tcBorders>
              <w:top w:val="single" w:color="000000" w:sz="4" w:space="0"/>
              <w:left w:val="single" w:color="000000" w:sz="4" w:space="0"/>
              <w:bottom w:val="single" w:color="000000" w:sz="4" w:space="0"/>
              <w:right w:val="single" w:color="000000" w:sz="4" w:space="0"/>
            </w:tcBorders>
            <w:noWrap w:val="0"/>
            <w:vAlign w:val="center"/>
          </w:tcPr>
          <w:p w14:paraId="55C1AC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7923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7FF5AA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4AD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互感器</w:t>
            </w:r>
          </w:p>
        </w:tc>
        <w:tc>
          <w:tcPr>
            <w:tcW w:w="4907" w:type="dxa"/>
            <w:tcBorders>
              <w:top w:val="single" w:color="000000" w:sz="4" w:space="0"/>
              <w:left w:val="single" w:color="000000" w:sz="4" w:space="0"/>
              <w:bottom w:val="single" w:color="000000" w:sz="4" w:space="0"/>
              <w:right w:val="single" w:color="000000" w:sz="4" w:space="0"/>
            </w:tcBorders>
            <w:noWrap w:val="0"/>
            <w:vAlign w:val="center"/>
          </w:tcPr>
          <w:p w14:paraId="501CF8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开口式互感器、全铜线圈</w:t>
            </w:r>
          </w:p>
        </w:tc>
        <w:tc>
          <w:tcPr>
            <w:tcW w:w="581" w:type="dxa"/>
            <w:tcBorders>
              <w:top w:val="single" w:color="000000" w:sz="4" w:space="0"/>
              <w:left w:val="single" w:color="000000" w:sz="4" w:space="0"/>
              <w:bottom w:val="single" w:color="000000" w:sz="4" w:space="0"/>
              <w:right w:val="single" w:color="000000" w:sz="4" w:space="0"/>
            </w:tcBorders>
            <w:noWrap w:val="0"/>
            <w:vAlign w:val="center"/>
          </w:tcPr>
          <w:p w14:paraId="2F4A8E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74E85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noWrap w:val="0"/>
            <w:vAlign w:val="center"/>
          </w:tcPr>
          <w:p w14:paraId="790986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6E48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智能电表嵌入式软件</w:t>
            </w:r>
            <w:bookmarkStart w:id="1" w:name="_GoBack"/>
            <w:bookmarkEnd w:id="1"/>
          </w:p>
        </w:tc>
        <w:tc>
          <w:tcPr>
            <w:tcW w:w="4907" w:type="dxa"/>
            <w:tcBorders>
              <w:top w:val="single" w:color="000000" w:sz="4" w:space="0"/>
              <w:left w:val="single" w:color="000000" w:sz="4" w:space="0"/>
              <w:bottom w:val="single" w:color="000000" w:sz="4" w:space="0"/>
              <w:right w:val="single" w:color="000000" w:sz="4" w:space="0"/>
            </w:tcBorders>
            <w:noWrap w:val="0"/>
            <w:vAlign w:val="center"/>
          </w:tcPr>
          <w:p w14:paraId="220D14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1.通过配电柜内智能电量检测设备的通讯端口读取：输入电压、输入电流、功率因数、频率、有功功率、视在功率、有功电度等参数。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2.可对电压、电流、频率等模拟量信号进行阈值设定，超出区间报警;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3.显示和记录各种参数变化曲线，并对各种报警状态进行实时的记录和报警处理;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4.无缝对接整合到动环软件平台中进行集中监控，在软件中通过柱状图、饼状图进行展示，具体监测的内容和控制的内容与提供的该型号通讯协议规定的完全一致;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5.▲智能电表嵌入式软件需有软件著作权证书或中国软件评测中心的检测报告，提供复印件盖公章 </w:t>
            </w:r>
          </w:p>
        </w:tc>
        <w:tc>
          <w:tcPr>
            <w:tcW w:w="581" w:type="dxa"/>
            <w:tcBorders>
              <w:top w:val="single" w:color="000000" w:sz="4" w:space="0"/>
              <w:left w:val="single" w:color="000000" w:sz="4" w:space="0"/>
              <w:bottom w:val="single" w:color="000000" w:sz="4" w:space="0"/>
              <w:right w:val="single" w:color="000000" w:sz="4" w:space="0"/>
            </w:tcBorders>
            <w:noWrap w:val="0"/>
            <w:vAlign w:val="center"/>
          </w:tcPr>
          <w:p w14:paraId="7DB266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5810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F511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7B89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蓄电池采集器</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28DF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对单节蓄电池进行汇聚监控、通过RS485或网络进行上联</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B1BE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905F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E4DC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E911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单电池内阻监控模块</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AA1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监控单节电池的电压、内阻、温度参数及运行情况，出现异常情况时通过软件进行报警；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1.供电电源：蓄电池两端直接取电12V/6V/2V型；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2.通讯接口： RJ11接口；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3.供电电压范围：1.5--3V(2V)，4.8—7.8V(6V)，10--16V(12V)；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4.电压精度：±0.5％；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5.内阻测量范围：0.05至250mΩ；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6.内阻一致性：&lt;=±2%；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7.温度测量范围：-20至+70°C；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8.温度精度：±0.5°C；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9.器件功耗：2V型：小于110毫瓦12V（6V）型：小于250毫瓦；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10.为确保产品不会对UPS系统产生干扰和影响，蓄电池监控需提供CE-LVD认证、CE-EMC认证、ROHS认证、IP等级、FCC认证证书；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检测报告认证机构须为中国计量认证（CMA），中国合格评定国家认可委员会（CNAS）双重认证机构，且检测标准符合GB4943.1-2022《音视频、信息技术和通信技术设备第1部分:安全要求》，提供符合要求的检测报告佐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12.▲检测内容具有设备各部位的温度值低于GB/T4610规定的自燃温度的90%或300℃，不会发生引燃，提供具有CMA或CNAS的第三方检测机构出具的检测报告；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13.▲设备的耐热及耐燃性要求：试验火焰按照GB/T5169.5-2020，材料未完全烧尽及火焰在30s内熄灭，提供具有检测机构具有中国计量认证CMA和中国合格评定国家认可委员会CNAS标志的第三方检测机构出具的检测报告；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14.▲单体电压在9-15V时，精度要求在士(0.1%+10mV)，提供具有检测机构具有中国计量认证CMA和中国合格评定国家认可委员会CNAS标志的检测机构出具的检测报告；</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567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w:t>
            </w:r>
          </w:p>
        </w:tc>
      </w:tr>
      <w:tr w14:paraId="33AFD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A082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DBC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电池电流互感器</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EE2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蓄电池电流监控模块</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770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58196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575A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836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电池温度电流采集模块</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F6F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监控组温、组电流，每组配1个</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10670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3D90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853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5D65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蓄电池采集器</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F52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对单节蓄电池进行汇聚监控、通过RS485或网络进行上联</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0BD7E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6724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F28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4D8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单电池内阻监控模块</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B31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监控单节电池的电压、内阻、温度参数及运行情况，出现异常情况时通过软件进行报警；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1.供电电源：蓄电池两端直接取电12V/6V/2V型；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2.通讯接口： RJ11接口；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3.供电电压范围：1.5--3V(2V)，4.8—7.8V(6V)，10--16V(12V)；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4.电压精度：±0.5％；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5.内阻测量范围：0.05至250mΩ；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6.内阻一致性：&lt;=±2%；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7.温度测量范围：-20至+70°C；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8.温度精度：±0.5°C；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9.器件功耗：2V型：小于110毫瓦12V（6V）型：小于250毫瓦；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10.为确保产品不会对UPS系统产生干扰和影响，蓄电池监控需提供CE-LVD认证、CE-EMC认证、ROHS认证、IP等级、FCC认证证书；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检测报告认证机构须为中国计量认证（CMA），中国合格评定国家认可委员会（CNAS）双重认证机构，且检测标准符合GB4943.1-2022《音视频、信息技术和通信技术设备第1部分:安全要求》，提供符合要求的检测报告佐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12.▲检测内容具有设备各部位的温度值低于GB/T4610规定的自燃温度的90%或300℃，不会发生引燃，提供具有CMA或CNAS的第三方检测机构出具的检测报告；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13.▲设备的耐热及耐燃性要求：试验火焰按照GB/T5169.5-2020，材料未完全烧尽及火焰在30s内熄灭，提供具有检测机构具有中国计量认证CMA和中国合格评定国家认可委员会CNAS标志的第三方检测机构出具的检测报告；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14.▲单体电压在9-15V时，精度要求在士(0.1%+10mV)，提供具有检测机构具有中国计量认证CMA和中国合格评定国家认可委员会CNAS标志的检测机构出具的检测报告；</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3671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r>
      <w:tr w14:paraId="700D7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CA6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3F5F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电池电流互感器</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90A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蓄电池电流监控模块</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1D9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5FFB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576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2B3D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电池温度电流采集模块</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FB71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监控组温、组电流，每组配1个</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2F5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7B64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FB60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BD81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门禁控制器</w:t>
            </w:r>
          </w:p>
        </w:tc>
        <w:tc>
          <w:tcPr>
            <w:tcW w:w="4907" w:type="dxa"/>
            <w:tcBorders>
              <w:top w:val="single" w:color="000000" w:sz="4" w:space="0"/>
              <w:left w:val="single" w:color="000000" w:sz="4" w:space="0"/>
              <w:bottom w:val="single" w:color="000000" w:sz="4" w:space="0"/>
              <w:right w:val="single" w:color="000000" w:sz="4" w:space="0"/>
            </w:tcBorders>
            <w:noWrap w:val="0"/>
            <w:vAlign w:val="center"/>
          </w:tcPr>
          <w:p w14:paraId="13BEF0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1.智能门禁控制器、开放SDK开发包、实现远程开关门、状态监控、门打开超时报警、烟雾火灾时门切换为常开或常闭状态、控制单个门、进出读卡双向控制、带12V 12Ah 后备电源、2万张卡管理权限、10万条脱机存储记录、RS485/232通讯、国际标准wiegand 26bitsUnbuff格式信号输出、传输距离可达100米。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2.▲门禁远程开关门以及消防报警联动报警实现自动开门，需要提供权威机构检测报告，认证机构须为中国计量认证（CMA），中国合格评定国家认可委员会（CNAS）双重认证机构，提供符合要求的检测报告佐证。</w:t>
            </w:r>
          </w:p>
        </w:tc>
        <w:tc>
          <w:tcPr>
            <w:tcW w:w="581" w:type="dxa"/>
            <w:tcBorders>
              <w:top w:val="single" w:color="000000" w:sz="4" w:space="0"/>
              <w:left w:val="single" w:color="000000" w:sz="4" w:space="0"/>
              <w:bottom w:val="single" w:color="000000" w:sz="4" w:space="0"/>
              <w:right w:val="single" w:color="000000" w:sz="4" w:space="0"/>
            </w:tcBorders>
            <w:noWrap w:val="0"/>
            <w:vAlign w:val="center"/>
          </w:tcPr>
          <w:p w14:paraId="139215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A2DD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512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CB3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嵌入式监控采集服务器</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3A7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标准19英寸、机架式、工业控制级嵌入式服务器、坚固、防震、防潮、防尘、耐高温多插槽和易于扩充、24小时*365天不间断运行、双核1.99GHZ/4G/500G、 10/100/1000M 以太网口、2个 RS232，6 个 RS485 串口、6个DI开关量输入接口、2个DO开关量输出及供电、 4 个 USB 口、GSM 短信猫1个、宽频宽压电源输入、功耗&lt;80W、工作环境温湿度-10℃～50℃、10%～90%RH，无凝露、静电防护接触放电:±6KV；空气放电:±8KV、EFT 防护±2KV；内置短信模块、外接天线；为保障网络数据安全要求，采集器硬件须满足网络安全的要求  ▲需要提供公安部安全与警用产品检测中心的检测报告，产品具有CE(EMC)认证、CE(LVD)认证、ROHS认证、FCC认证、IP等级认证；                                                                                                ▲嵌入式采集器须满足电源电压适应范围检验、高低温50°至-10°测试、抗电强度试验、绝缘电阻试验、泄漏电流试验等，投标人须提供公安部安全与警用产品检测中心出具的检测报告复印件并加盖厂商公章；                            ▲嵌入式采集器须满足依据《GB 9254.1-2021 信息技术设备的无线电骚扰限值和测量方法》《GB/T 17626.2-2018 电磁兼容 试验和测量技术 静电放电抗扰度试验》《GB/T 17626.3-2016电磁兼容试验和测量技术射频电磁场辐射抗扰度试验》《GB/T 17626.5-2019 电磁兼容试验和测量技术浪涌（冲击）抗扰度试验》，电磁兼容性：静电放电抗扰度符合GB-17626标准的规定（接触放电6kV，空气放电8kV），达到性能判据A的要求，须提供泰尔检测报告；</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DC2C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40C6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41E8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AB4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数据中心机房动环监控系统</w:t>
            </w:r>
          </w:p>
        </w:tc>
        <w:tc>
          <w:tcPr>
            <w:tcW w:w="4907" w:type="dxa"/>
            <w:tcBorders>
              <w:top w:val="single" w:color="000000" w:sz="4" w:space="0"/>
              <w:left w:val="single" w:color="000000" w:sz="4" w:space="0"/>
              <w:bottom w:val="single" w:color="000000" w:sz="4" w:space="0"/>
              <w:right w:val="single" w:color="000000" w:sz="4" w:space="0"/>
            </w:tcBorders>
            <w:noWrap w:val="0"/>
            <w:vAlign w:val="center"/>
          </w:tcPr>
          <w:p w14:paraId="29E70C70">
            <w:pPr>
              <w:keepNext w:val="0"/>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机房动环监控系统主平台软件；1、用户可通过报警事件自定义输入事件原因内容进行记录存入数据库，用户输入的确认事件记录可通过软件导出进行分析；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2、可按周、月、年查询导出某一（类型）传感器每天一个数据记录，如查询半年内每天一个温湿度数值，便于对数据进行分析处理，实时掌握每天的运行曲线；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3、▲容量管理子软件，容量资源管理、容量视图、容量告警、容量查询统计,可以监测UPS、空调或机柜等设备的实时容量，实时显示供管理人员参考；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机房能耗用电数据分析，管理人员可以直观的在软件中查看每个机柜的电压、电流、功率、有功电能、运行状态等相关参数；管理人员可以通过软件按天、周、月、季度等方式查看时间段内用电的电度数量，并可以导出相关数据；软件中有电费计价定义，可设置不同时间段的用电电价、如峰段时刻、平段时刻、谷段时刻；软件中可查询机房能耗分类报表，并导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5、支持排班运维管理, 提供排班表、知识库等功能。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6、▲资产管理, 展示动环资产名称、类别、品牌、用途、所在位置、购买时间、管理人员、供货厂家、联系人等；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告警风暴过滤：选定告警主要事件，将并发的告警事件作为次要事件进行过滤，只对外发出主要告警事件；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8、只需要关注厂家微信公众号即可推送报警信息到用户微信上进行告警；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9、具有手机APP移动端，可下载手机APP安卓及苹果客户端进行远端管理；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10、故障等级不少于5级：紧急报警、严重报警、主要报警、次要报警、一般报警，紧急报警为红色，严重报警为淡红色，主要报警为绿色 ，次要报警为黄色，一般报警为紫色；报警事件为：未确诊报警、已确诊报警、已解除报警三栏，当机房出现异常情况时自动弹出对话框显示报警内容的级别，报警异常点的位置等（提供软件界面截图）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软件自动循环播放：软件部署好后，按功能分为主界面、UPS界面、市电界面、精密空调等二级界面，只需要在主界面点击自动轮循，就可实现所有界面自动循环播放，管理人员无需动手即可从全局掌握每个机房的运行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12、系统需要支持C/S和B/S两种浏览查看架构，便于管理员随时随地查看管理（提供软件界面截图）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13、友好的人机界面：3D 效果主界面，系统软件布局更清晰，主界面根据用户关注内容可以摆放空调、UPS、温湿度等重要参数的柱状图、饼状图、曲线图等。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为保证产品采用的软件版权，投标产品具有《机房动力环境监控系统》、《动环监控移动巡检管理软件》、《数据中心机房3D可视化管理系统软件》、《容量管理系统软件》、《资产管理系统软件》《IT运维管理系统软件》《能耗管理系统软件》《链路管理嵌入式监控系统》《3D模型搭建互动展示平台软件》《短信报警系统软件》《智能设备接入软件》等的国家版权局的计算机软件著作权登记证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15、▲所投软件产品需有中国软件评测中心认证的检测报告，需提供证书复印件盖公章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16、▲所投产品厂家具有省级以上软件行业协会认证的软件企业证书、软件产品证书及高新技术企业证书，提供证书复印件加盖公章；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17、▲所投产品厂家具有ISO9001质量管理体系认证、ISO45001职业健康安全管理体系认证、ISO14001环境管理体系认证，需要提供证书复印件加盖公章</w:t>
            </w:r>
          </w:p>
        </w:tc>
        <w:tc>
          <w:tcPr>
            <w:tcW w:w="581" w:type="dxa"/>
            <w:tcBorders>
              <w:top w:val="single" w:color="000000" w:sz="4" w:space="0"/>
              <w:left w:val="single" w:color="000000" w:sz="4" w:space="0"/>
              <w:bottom w:val="single" w:color="000000" w:sz="4" w:space="0"/>
              <w:right w:val="single" w:color="000000" w:sz="4" w:space="0"/>
            </w:tcBorders>
            <w:noWrap w:val="0"/>
            <w:vAlign w:val="center"/>
          </w:tcPr>
          <w:p w14:paraId="6027D7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9C16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DFC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E52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全网通短信模块</w:t>
            </w:r>
          </w:p>
        </w:tc>
        <w:tc>
          <w:tcPr>
            <w:tcW w:w="4907" w:type="dxa"/>
            <w:tcBorders>
              <w:top w:val="single" w:color="000000" w:sz="4" w:space="0"/>
              <w:left w:val="single" w:color="000000" w:sz="4" w:space="0"/>
              <w:bottom w:val="single" w:color="000000" w:sz="4" w:space="0"/>
              <w:right w:val="single" w:color="000000" w:sz="4" w:space="0"/>
            </w:tcBorders>
            <w:noWrap w:val="0"/>
            <w:vAlign w:val="center"/>
          </w:tcPr>
          <w:p w14:paraId="527602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1、4G全网通短信报警模块、支持移动、联通、电信手机卡，支持串口及USB接口；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2、▲检测报告认证机构须为中国计量认证（CMA），中国合格评定国家认可委员会（CNAS）双重认证机构，且检测标准符合GB4943.1-2011《信息技术设备 安全 第一部分：通用要求》，提供符合要求的检测报告佐证。</w:t>
            </w:r>
          </w:p>
        </w:tc>
        <w:tc>
          <w:tcPr>
            <w:tcW w:w="581" w:type="dxa"/>
            <w:tcBorders>
              <w:top w:val="single" w:color="000000" w:sz="4" w:space="0"/>
              <w:left w:val="single" w:color="000000" w:sz="4" w:space="0"/>
              <w:bottom w:val="single" w:color="000000" w:sz="4" w:space="0"/>
              <w:right w:val="single" w:color="000000" w:sz="4" w:space="0"/>
            </w:tcBorders>
            <w:noWrap w:val="0"/>
            <w:vAlign w:val="center"/>
          </w:tcPr>
          <w:p w14:paraId="2EE5B8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12E5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02F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D0C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微信报警管理软件</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9A1D5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微信APP报警子软件：用户只需要关注动环厂家的微信公众号后，即可把动环报警通过微信进行报警推送，节省费用，避免手机短信卡欠费报警发送不成功；▲需提供报警软件截图证明或软件著作权证书</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651D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F6CB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E197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55D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手机APP远程管理软件</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FDB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有云端手机APP功能，手机APP通过云端服务可以查看机房监控的所有监测数据及支行状态，手机客户端报警内容分为一般报警、次要报警、主要报警、严重报警、紧急报警；▲提供应用商店的截图或软件著作权证书</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E45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88DE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57DC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C21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管线及辅材</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3911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线槽线管、网线、视频信号线、电源线等</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33C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406B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655D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9E76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一体机触摸屏</w:t>
            </w:r>
          </w:p>
        </w:tc>
        <w:tc>
          <w:tcPr>
            <w:tcW w:w="490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F42C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43寸多媒体一体机触摸屏</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797CB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5301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741D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nil"/>
              <w:left w:val="single" w:color="000000" w:sz="8" w:space="0"/>
              <w:bottom w:val="single" w:color="000000" w:sz="8" w:space="0"/>
              <w:right w:val="single" w:color="000000" w:sz="8" w:space="0"/>
            </w:tcBorders>
            <w:noWrap/>
            <w:vAlign w:val="center"/>
          </w:tcPr>
          <w:p w14:paraId="374D58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不间断电源</w:t>
            </w:r>
          </w:p>
        </w:tc>
        <w:tc>
          <w:tcPr>
            <w:tcW w:w="4907" w:type="dxa"/>
            <w:tcBorders>
              <w:top w:val="nil"/>
              <w:left w:val="single" w:color="000000" w:sz="8" w:space="0"/>
              <w:bottom w:val="single" w:color="000000" w:sz="8" w:space="0"/>
              <w:right w:val="single" w:color="000000" w:sz="8" w:space="0"/>
            </w:tcBorders>
            <w:noWrap w:val="0"/>
            <w:vAlign w:val="center"/>
          </w:tcPr>
          <w:p w14:paraId="627710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（1）★UPS主机容量≥60kVA，支持三进三出制式。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（2）UPS电源采用类模块化结构设计，兼容模块化功能，功率单元支持热插拔。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仿宋_GB2312"/>
                <w:bCs/>
                <w:sz w:val="24"/>
                <w:szCs w:val="24"/>
                <w:highlight w:val="none"/>
              </w:rPr>
              <w:t>★</w:t>
            </w:r>
            <w:r>
              <w:rPr>
                <w:rFonts w:hint="eastAsia" w:ascii="宋体" w:hAnsi="宋体" w:eastAsia="宋体" w:cs="宋体"/>
                <w:i w:val="0"/>
                <w:iCs w:val="0"/>
                <w:color w:val="000000"/>
                <w:kern w:val="0"/>
                <w:sz w:val="22"/>
                <w:szCs w:val="22"/>
                <w:u w:val="none"/>
                <w:lang w:val="en-US" w:eastAsia="zh-CN" w:bidi="ar"/>
              </w:rPr>
              <w:t>UPS系统采用分散非主从控制方式，每个功率模块采用独立的双DSP控制技术，单个模块可独立运行，不依赖集中控制器控制，具备不转旁路热插拔功能，使整个系统独立性增强，互不干扰。需提供UPS控制全冗余设计第三方检测报告证明并加盖所投品牌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（4）▲为保证UPS产品的高效节能、绿色环保，UPS输入功率因数高达0.99，整机效率＞96%（50%负载），需提供泰尔检测报告并加盖所投品牌厂商公章。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（5）▲为更好地匹配现场用电需求，UPS输入输出需兼容多种电压制式，标准产品输入输出相电压220V或110V可设置，该功能支持现场验证，需提供设置截图证明并加盖所投品牌厂商公章。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（6）▲功率模块的主功率器件要求采用集成封装IGBT模块以提升系统可靠性，杜绝使用分立的单管式IGBT器件，支持现场查验，需提供证明资料并加盖所投品牌厂商公章。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功率模块应采用隔离的独立风道设计，控制板、整流逆变功率板等含有核心敏感元器件的PCBA板和IGBT散热器、SCR散热器、电感等发热部件分上下层，互不干扰，功率模块具有良好的散热性能，同时也避免了核心器件及线路遭受粉尘侵蚀，降低故障率，进一步提升产品运行的可靠性。支持现场查验，需提供独立风道示意图证明并加盖所投品牌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（8）要求整机采用集中旁路设计，静态旁路模块采用大功率SCR集成模块，杜绝采用小功率单管SCR+继电器方案，避免旁路造成环流问题而引发故障。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（9）为便于操作和维护，系统显示须采用7英寸及以上LCD大屏幕触摸屏+LED+按键方式。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（10）所有电路板均需要采用三防工艺，确保在低恶劣环境下的使用寿命。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（11）▲UPS输出功率因数必须为1（1kVA=1kW），以便与负载完美匹配，需提供泰尔检测报告并加盖所投品牌厂商公章。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（12）系统须满足下述过载能力：125%额定阻性负载＞10分钟后转旁路输出，需提供泰尔检测报告并加盖所投品牌厂商公章。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（13）电池组节数±16～±22节可设置，便于未来遭遇个别电池故障需要维护、更换时, 可灵活调节电池节数的需要。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（14）▲UPS主机柜标配独立的主路输入、旁路输入、维修旁路、输出开关，需提供实物图片证明并加盖所投品牌厂商公章。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w:t>
            </w:r>
            <w:r>
              <w:rPr>
                <w:rFonts w:hint="eastAsia" w:ascii="宋体" w:hAnsi="宋体" w:cs="仿宋_GB2312"/>
                <w:bCs/>
                <w:sz w:val="24"/>
                <w:szCs w:val="24"/>
                <w:highlight w:val="none"/>
              </w:rPr>
              <w:t>★</w:t>
            </w:r>
            <w:r>
              <w:rPr>
                <w:rFonts w:hint="eastAsia" w:ascii="宋体" w:hAnsi="宋体" w:eastAsia="宋体" w:cs="宋体"/>
                <w:i w:val="0"/>
                <w:iCs w:val="0"/>
                <w:color w:val="000000"/>
                <w:kern w:val="0"/>
                <w:sz w:val="22"/>
                <w:szCs w:val="22"/>
                <w:u w:val="none"/>
                <w:lang w:val="en-US" w:eastAsia="zh-CN" w:bidi="ar"/>
              </w:rPr>
              <w:t>UPS系统需具有黑匣子功能，全面监控功率模块关键部分参数，实现故障可控可管 ：记录和预警关键部位器件的数据，可设置风扇更换时间到期提示功能，每个模块提供不少于8个温度监控点，包含IGBT温度、进风口温度、出风口温度或SCR温度。有故障发生时，能够自动记录该时刻前后一段时间的整流\逆变的波形数据，并可以导出至电脑端生成波形图，以上功能需提供UPS第三方检测报告证明并加盖所投品牌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（16）▲功率模块采用人性化编号方法和编号装置，UPS系统可智能识别，无需通过拨码或软件设置，需提供详细的技术说明以及第三方权威机构证明文件并加盖所投品牌厂商公章。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（17）▲功率单元可以设置逐个启动功能，可以更好的配合发电机平滑启动，避免UPS启动导致发电机死机现象。需提供UPS功率模块逐个启动第三方检测报告证明并加盖所投品牌厂商公章。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18）▲UPS必须具备输入输出等干接点信号总共不低于7路，并支持对干接点进行自定义，自定义内容包括：发电机接入、维修/输出空开闭合、切逆变、切旁路、BCB（电池开关）状态接口、电池低电压告警、综合告警、市电故障告警、正常模式、电池放电等等，同时可提供BCB脱扣用24V电压，更加方便灵活。该功能支持现场验证，需提供设置截图等证明文件并加盖所投品牌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（19）▲提供投标UPS产品的“中国节能产品认证证书”复印件、“泰尔产品认证证书”复印件、“CE认证证书”、“泰尔产品认证检测报告”复印件并加盖所投品牌厂商公章。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（20）▲UPS电源后台监控软件取得了“计算机软件著作权登记证书”。UPS液晶触摸屏监控软件取得了“计算机软件著作权登记证书”，需提供相应证书复印件并加盖所投品牌厂商公章。</w:t>
            </w:r>
          </w:p>
        </w:tc>
        <w:tc>
          <w:tcPr>
            <w:tcW w:w="581" w:type="dxa"/>
            <w:tcBorders>
              <w:top w:val="nil"/>
              <w:left w:val="single" w:color="000000" w:sz="8" w:space="0"/>
              <w:bottom w:val="single" w:color="000000" w:sz="8" w:space="0"/>
              <w:right w:val="single" w:color="000000" w:sz="8" w:space="0"/>
            </w:tcBorders>
            <w:noWrap/>
            <w:vAlign w:val="center"/>
          </w:tcPr>
          <w:p w14:paraId="1BD477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0F4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74C6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0" w:type="auto"/>
            <w:tcBorders>
              <w:top w:val="nil"/>
              <w:left w:val="single" w:color="000000" w:sz="8" w:space="0"/>
              <w:bottom w:val="single" w:color="000000" w:sz="8" w:space="0"/>
              <w:right w:val="single" w:color="000000" w:sz="8" w:space="0"/>
            </w:tcBorders>
            <w:noWrap/>
            <w:vAlign w:val="center"/>
          </w:tcPr>
          <w:p w14:paraId="2B6C23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免维护铅酸蓄电池</w:t>
            </w:r>
          </w:p>
        </w:tc>
        <w:tc>
          <w:tcPr>
            <w:tcW w:w="4907" w:type="dxa"/>
            <w:tcBorders>
              <w:top w:val="nil"/>
              <w:left w:val="single" w:color="000000" w:sz="8" w:space="0"/>
              <w:bottom w:val="single" w:color="000000" w:sz="8" w:space="0"/>
              <w:right w:val="single" w:color="000000" w:sz="8" w:space="0"/>
            </w:tcBorders>
            <w:noWrap w:val="0"/>
            <w:vAlign w:val="center"/>
          </w:tcPr>
          <w:p w14:paraId="0BA31F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★蓄电池单体额定电压12V，单体额定容量100AH，为了施工安装及后期维护方便，要求蓄电池与UPS统一品牌，并提供投标蓄电池产品的 “泰尔产品认证证书”复印件并加盖所投品牌厂商公章。</w:t>
            </w:r>
          </w:p>
        </w:tc>
        <w:tc>
          <w:tcPr>
            <w:tcW w:w="581" w:type="dxa"/>
            <w:tcBorders>
              <w:top w:val="nil"/>
              <w:left w:val="single" w:color="000000" w:sz="8" w:space="0"/>
              <w:bottom w:val="single" w:color="000000" w:sz="8" w:space="0"/>
              <w:right w:val="single" w:color="000000" w:sz="8" w:space="0"/>
            </w:tcBorders>
            <w:noWrap/>
            <w:vAlign w:val="center"/>
          </w:tcPr>
          <w:p w14:paraId="2807B6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r>
      <w:tr w14:paraId="7B5A3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704B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0" w:type="auto"/>
            <w:tcBorders>
              <w:top w:val="nil"/>
              <w:left w:val="single" w:color="000000" w:sz="8" w:space="0"/>
              <w:bottom w:val="single" w:color="000000" w:sz="8" w:space="0"/>
              <w:right w:val="single" w:color="000000" w:sz="8" w:space="0"/>
            </w:tcBorders>
            <w:noWrap/>
            <w:vAlign w:val="center"/>
          </w:tcPr>
          <w:p w14:paraId="7213B7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电池柜</w:t>
            </w:r>
          </w:p>
        </w:tc>
        <w:tc>
          <w:tcPr>
            <w:tcW w:w="4907" w:type="dxa"/>
            <w:tcBorders>
              <w:top w:val="nil"/>
              <w:left w:val="single" w:color="000000" w:sz="8" w:space="0"/>
              <w:bottom w:val="single" w:color="000000" w:sz="8" w:space="0"/>
              <w:right w:val="single" w:color="000000" w:sz="8" w:space="0"/>
            </w:tcBorders>
            <w:noWrap/>
            <w:vAlign w:val="center"/>
          </w:tcPr>
          <w:p w14:paraId="18F625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满足40只100AH蓄电池安装需求</w:t>
            </w:r>
          </w:p>
        </w:tc>
        <w:tc>
          <w:tcPr>
            <w:tcW w:w="581" w:type="dxa"/>
            <w:tcBorders>
              <w:top w:val="nil"/>
              <w:left w:val="single" w:color="000000" w:sz="8" w:space="0"/>
              <w:bottom w:val="single" w:color="000000" w:sz="8" w:space="0"/>
              <w:right w:val="single" w:color="000000" w:sz="8" w:space="0"/>
            </w:tcBorders>
            <w:noWrap/>
            <w:vAlign w:val="center"/>
          </w:tcPr>
          <w:p w14:paraId="7DF0E9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317F2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655A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0" w:type="auto"/>
            <w:tcBorders>
              <w:top w:val="nil"/>
              <w:left w:val="single" w:color="000000" w:sz="8" w:space="0"/>
              <w:bottom w:val="single" w:color="000000" w:sz="8" w:space="0"/>
              <w:right w:val="single" w:color="000000" w:sz="8" w:space="0"/>
            </w:tcBorders>
            <w:noWrap/>
            <w:vAlign w:val="center"/>
          </w:tcPr>
          <w:p w14:paraId="3C6C90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UPS承重底座</w:t>
            </w:r>
          </w:p>
        </w:tc>
        <w:tc>
          <w:tcPr>
            <w:tcW w:w="4907" w:type="dxa"/>
            <w:tcBorders>
              <w:top w:val="nil"/>
              <w:left w:val="single" w:color="000000" w:sz="8" w:space="0"/>
              <w:bottom w:val="single" w:color="000000" w:sz="8" w:space="0"/>
              <w:right w:val="single" w:color="000000" w:sz="8" w:space="0"/>
            </w:tcBorders>
            <w:noWrap/>
            <w:vAlign w:val="center"/>
          </w:tcPr>
          <w:p w14:paraId="690FF5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拼装式模块化结构，工厂预制，无需现场焊接</w:t>
            </w:r>
          </w:p>
        </w:tc>
        <w:tc>
          <w:tcPr>
            <w:tcW w:w="581" w:type="dxa"/>
            <w:tcBorders>
              <w:top w:val="nil"/>
              <w:left w:val="single" w:color="000000" w:sz="8" w:space="0"/>
              <w:bottom w:val="single" w:color="000000" w:sz="8" w:space="0"/>
              <w:right w:val="single" w:color="000000" w:sz="8" w:space="0"/>
            </w:tcBorders>
            <w:noWrap/>
            <w:vAlign w:val="center"/>
          </w:tcPr>
          <w:p w14:paraId="032B70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8D92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4BB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0" w:type="auto"/>
            <w:tcBorders>
              <w:top w:val="nil"/>
              <w:left w:val="single" w:color="000000" w:sz="8" w:space="0"/>
              <w:bottom w:val="single" w:color="000000" w:sz="8" w:space="0"/>
              <w:right w:val="single" w:color="000000" w:sz="8" w:space="0"/>
            </w:tcBorders>
            <w:noWrap/>
            <w:vAlign w:val="center"/>
          </w:tcPr>
          <w:p w14:paraId="2A3C2F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电池柜承重底座</w:t>
            </w:r>
          </w:p>
        </w:tc>
        <w:tc>
          <w:tcPr>
            <w:tcW w:w="4907" w:type="dxa"/>
            <w:tcBorders>
              <w:top w:val="nil"/>
              <w:left w:val="single" w:color="000000" w:sz="8" w:space="0"/>
              <w:bottom w:val="single" w:color="000000" w:sz="8" w:space="0"/>
              <w:right w:val="single" w:color="000000" w:sz="8" w:space="0"/>
            </w:tcBorders>
            <w:noWrap/>
            <w:vAlign w:val="center"/>
          </w:tcPr>
          <w:p w14:paraId="5E63E5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拼装式模块化结构，工厂预制，无需现场焊接</w:t>
            </w:r>
          </w:p>
        </w:tc>
        <w:tc>
          <w:tcPr>
            <w:tcW w:w="581" w:type="dxa"/>
            <w:tcBorders>
              <w:top w:val="nil"/>
              <w:left w:val="single" w:color="000000" w:sz="8" w:space="0"/>
              <w:bottom w:val="single" w:color="000000" w:sz="8" w:space="0"/>
              <w:right w:val="single" w:color="000000" w:sz="8" w:space="0"/>
            </w:tcBorders>
            <w:noWrap/>
            <w:vAlign w:val="center"/>
          </w:tcPr>
          <w:p w14:paraId="3C93D4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41B8C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201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0" w:type="auto"/>
            <w:tcBorders>
              <w:top w:val="nil"/>
              <w:left w:val="single" w:color="000000" w:sz="8" w:space="0"/>
              <w:bottom w:val="single" w:color="000000" w:sz="8" w:space="0"/>
              <w:right w:val="single" w:color="000000" w:sz="8" w:space="0"/>
            </w:tcBorders>
            <w:noWrap/>
            <w:vAlign w:val="center"/>
          </w:tcPr>
          <w:p w14:paraId="539CC4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电池柜内部连接线缆</w:t>
            </w:r>
          </w:p>
        </w:tc>
        <w:tc>
          <w:tcPr>
            <w:tcW w:w="4907" w:type="dxa"/>
            <w:tcBorders>
              <w:top w:val="nil"/>
              <w:left w:val="single" w:color="000000" w:sz="8" w:space="0"/>
              <w:bottom w:val="single" w:color="000000" w:sz="8" w:space="0"/>
              <w:right w:val="single" w:color="000000" w:sz="8" w:space="0"/>
            </w:tcBorders>
            <w:noWrap/>
            <w:vAlign w:val="center"/>
          </w:tcPr>
          <w:p w14:paraId="1CBE63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BVR-35mm²，含铜鼻子</w:t>
            </w:r>
          </w:p>
        </w:tc>
        <w:tc>
          <w:tcPr>
            <w:tcW w:w="581" w:type="dxa"/>
            <w:tcBorders>
              <w:top w:val="nil"/>
              <w:left w:val="single" w:color="000000" w:sz="8" w:space="0"/>
              <w:bottom w:val="single" w:color="000000" w:sz="8" w:space="0"/>
              <w:right w:val="single" w:color="000000" w:sz="8" w:space="0"/>
            </w:tcBorders>
            <w:noWrap/>
            <w:vAlign w:val="center"/>
          </w:tcPr>
          <w:p w14:paraId="5AD9C8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6A0AB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DB70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0" w:type="auto"/>
            <w:tcBorders>
              <w:top w:val="nil"/>
              <w:left w:val="single" w:color="000000" w:sz="8" w:space="0"/>
              <w:bottom w:val="single" w:color="000000" w:sz="8" w:space="0"/>
              <w:right w:val="single" w:color="000000" w:sz="8" w:space="0"/>
            </w:tcBorders>
            <w:noWrap/>
            <w:vAlign w:val="center"/>
          </w:tcPr>
          <w:p w14:paraId="62824B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电池开关箱</w:t>
            </w:r>
          </w:p>
        </w:tc>
        <w:tc>
          <w:tcPr>
            <w:tcW w:w="4907" w:type="dxa"/>
            <w:tcBorders>
              <w:top w:val="nil"/>
              <w:left w:val="single" w:color="000000" w:sz="8" w:space="0"/>
              <w:bottom w:val="single" w:color="000000" w:sz="8" w:space="0"/>
              <w:right w:val="single" w:color="000000" w:sz="8" w:space="0"/>
            </w:tcBorders>
            <w:noWrap/>
            <w:vAlign w:val="center"/>
          </w:tcPr>
          <w:p w14:paraId="74BDBB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1*160A/4P塑壳，国产知名品牌开关</w:t>
            </w:r>
          </w:p>
        </w:tc>
        <w:tc>
          <w:tcPr>
            <w:tcW w:w="581" w:type="dxa"/>
            <w:tcBorders>
              <w:top w:val="nil"/>
              <w:left w:val="single" w:color="000000" w:sz="8" w:space="0"/>
              <w:bottom w:val="single" w:color="000000" w:sz="8" w:space="0"/>
              <w:right w:val="single" w:color="000000" w:sz="8" w:space="0"/>
            </w:tcBorders>
            <w:noWrap/>
            <w:vAlign w:val="center"/>
          </w:tcPr>
          <w:p w14:paraId="42FB6D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7FF77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A784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0" w:type="auto"/>
            <w:tcBorders>
              <w:top w:val="nil"/>
              <w:left w:val="single" w:color="000000" w:sz="8" w:space="0"/>
              <w:bottom w:val="single" w:color="000000" w:sz="8" w:space="0"/>
              <w:right w:val="single" w:color="000000" w:sz="8" w:space="0"/>
            </w:tcBorders>
            <w:noWrap/>
            <w:vAlign w:val="center"/>
          </w:tcPr>
          <w:p w14:paraId="48B8B4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直流母线</w:t>
            </w:r>
          </w:p>
        </w:tc>
        <w:tc>
          <w:tcPr>
            <w:tcW w:w="4907" w:type="dxa"/>
            <w:tcBorders>
              <w:top w:val="nil"/>
              <w:left w:val="single" w:color="000000" w:sz="8" w:space="0"/>
              <w:bottom w:val="single" w:color="000000" w:sz="8" w:space="0"/>
              <w:right w:val="single" w:color="000000" w:sz="8" w:space="0"/>
            </w:tcBorders>
            <w:noWrap/>
            <w:vAlign w:val="center"/>
          </w:tcPr>
          <w:p w14:paraId="6C311C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电池开关箱到UPS主机正极线，中线，负极线</w:t>
            </w:r>
          </w:p>
        </w:tc>
        <w:tc>
          <w:tcPr>
            <w:tcW w:w="581" w:type="dxa"/>
            <w:tcBorders>
              <w:top w:val="nil"/>
              <w:left w:val="single" w:color="000000" w:sz="8" w:space="0"/>
              <w:bottom w:val="single" w:color="000000" w:sz="8" w:space="0"/>
              <w:right w:val="single" w:color="000000" w:sz="8" w:space="0"/>
            </w:tcBorders>
            <w:noWrap/>
            <w:vAlign w:val="center"/>
          </w:tcPr>
          <w:p w14:paraId="4C2AAD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5DF43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76D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2239" w:type="dxa"/>
            <w:tcBorders>
              <w:top w:val="nil"/>
              <w:left w:val="single" w:color="000000" w:sz="8" w:space="0"/>
              <w:bottom w:val="single" w:color="000000" w:sz="8" w:space="0"/>
              <w:right w:val="single" w:color="000000" w:sz="8" w:space="0"/>
            </w:tcBorders>
            <w:noWrap/>
            <w:vAlign w:val="center"/>
          </w:tcPr>
          <w:p w14:paraId="3B4E68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安装调试</w:t>
            </w:r>
          </w:p>
        </w:tc>
        <w:tc>
          <w:tcPr>
            <w:tcW w:w="4907" w:type="dxa"/>
            <w:tcBorders>
              <w:top w:val="nil"/>
              <w:left w:val="single" w:color="000000" w:sz="8" w:space="0"/>
              <w:bottom w:val="single" w:color="000000" w:sz="8" w:space="0"/>
              <w:right w:val="single" w:color="000000" w:sz="8" w:space="0"/>
            </w:tcBorders>
            <w:noWrap/>
            <w:vAlign w:val="center"/>
          </w:tcPr>
          <w:p w14:paraId="511023E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581" w:type="dxa"/>
            <w:tcBorders>
              <w:top w:val="nil"/>
              <w:left w:val="single" w:color="000000" w:sz="8" w:space="0"/>
              <w:bottom w:val="single" w:color="000000" w:sz="8" w:space="0"/>
              <w:right w:val="single" w:color="000000" w:sz="8" w:space="0"/>
            </w:tcBorders>
            <w:noWrap/>
            <w:vAlign w:val="center"/>
          </w:tcPr>
          <w:p w14:paraId="272CE1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bl>
    <w:p w14:paraId="71CDC4FC">
      <w:pPr>
        <w:spacing w:line="360" w:lineRule="auto"/>
        <w:rPr>
          <w:rFonts w:hint="eastAsia" w:ascii="宋体" w:hAnsi="宋体"/>
          <w:b/>
          <w:bCs/>
          <w:color w:val="000000"/>
          <w:sz w:val="28"/>
          <w:szCs w:val="28"/>
        </w:rPr>
      </w:pPr>
    </w:p>
    <w:p w14:paraId="3BFA6AAC">
      <w:pPr>
        <w:spacing w:line="360" w:lineRule="auto"/>
        <w:rPr>
          <w:rFonts w:ascii="宋体" w:hAnsi="宋体"/>
          <w:b/>
          <w:bCs/>
          <w:color w:val="000000"/>
          <w:sz w:val="28"/>
          <w:szCs w:val="28"/>
        </w:rPr>
      </w:pPr>
      <w:r>
        <w:rPr>
          <w:rFonts w:hint="eastAsia" w:ascii="宋体" w:hAnsi="宋体"/>
          <w:b/>
          <w:bCs/>
          <w:color w:val="000000"/>
          <w:sz w:val="28"/>
          <w:szCs w:val="28"/>
        </w:rPr>
        <w:t>三、商务要求：</w:t>
      </w:r>
    </w:p>
    <w:p w14:paraId="37D7DFB1">
      <w:pPr>
        <w:spacing w:line="360" w:lineRule="auto"/>
        <w:ind w:firstLine="480"/>
        <w:rPr>
          <w:rFonts w:ascii="宋体" w:hAnsi="宋体" w:cs="宋体"/>
          <w:color w:val="000000"/>
          <w:sz w:val="28"/>
          <w:szCs w:val="28"/>
        </w:rPr>
      </w:pPr>
      <w:r>
        <w:rPr>
          <w:rFonts w:hint="eastAsia" w:ascii="宋体" w:hAnsi="宋体" w:cs="宋体"/>
          <w:color w:val="000000"/>
          <w:sz w:val="28"/>
          <w:szCs w:val="28"/>
        </w:rPr>
        <w:t>1、</w:t>
      </w:r>
      <w:r>
        <w:rPr>
          <w:rFonts w:ascii="宋体" w:hAnsi="宋体" w:cs="宋体"/>
          <w:color w:val="000000"/>
          <w:sz w:val="28"/>
          <w:szCs w:val="28"/>
        </w:rPr>
        <w:t>本项目为医院核心业务系统基础设施</w:t>
      </w:r>
      <w:r>
        <w:rPr>
          <w:rFonts w:hint="eastAsia" w:ascii="宋体" w:hAnsi="宋体" w:cs="宋体"/>
          <w:color w:val="000000"/>
          <w:sz w:val="28"/>
          <w:szCs w:val="28"/>
          <w:lang w:val="en-US" w:eastAsia="zh-CN"/>
        </w:rPr>
        <w:t>改造</w:t>
      </w:r>
      <w:r>
        <w:rPr>
          <w:rFonts w:ascii="宋体" w:hAnsi="宋体" w:cs="宋体"/>
          <w:color w:val="000000"/>
          <w:sz w:val="28"/>
          <w:szCs w:val="28"/>
        </w:rPr>
        <w:t>，整个</w:t>
      </w:r>
      <w:r>
        <w:rPr>
          <w:rFonts w:hint="eastAsia" w:ascii="宋体" w:hAnsi="宋体" w:cs="宋体"/>
          <w:color w:val="000000"/>
          <w:sz w:val="28"/>
          <w:szCs w:val="28"/>
          <w:lang w:val="en-US" w:eastAsia="zh-CN"/>
        </w:rPr>
        <w:t>改造</w:t>
      </w:r>
      <w:r>
        <w:rPr>
          <w:rFonts w:ascii="宋体" w:hAnsi="宋体" w:cs="宋体"/>
          <w:color w:val="000000"/>
          <w:sz w:val="28"/>
          <w:szCs w:val="28"/>
        </w:rPr>
        <w:t>过程须确保HIS系统7×24小时不停机、业务零中断，供应商须书面承诺如因自身原因导致业务中断承担违约金。供应商投标时必须提供设备制造厂商出具的原厂项目授权书及原厂售后服务承诺函，质保函须明确3年原厂质保，并承诺本地备件库储备关键部件，医院有权通过厂商官方客服热线验证设备归属及服务承诺，如查询结果与投标文件不一致有权废除合同。所有设备须为原厂包装且序列号可在官网查询，供货后原厂须每季度提供一次现场健康巡检。投标文件须包含营业执照、资质证书、原厂授权书、售后服务承诺函、同类项目业绩证明、团队资质证书、分项报价明细、不停机</w:t>
      </w:r>
      <w:r>
        <w:rPr>
          <w:rFonts w:hint="eastAsia" w:ascii="宋体" w:hAnsi="宋体" w:cs="宋体"/>
          <w:color w:val="000000"/>
          <w:sz w:val="28"/>
          <w:szCs w:val="28"/>
          <w:lang w:val="en-US" w:eastAsia="zh-CN"/>
        </w:rPr>
        <w:t>改造</w:t>
      </w:r>
      <w:r>
        <w:rPr>
          <w:rFonts w:ascii="宋体" w:hAnsi="宋体" w:cs="宋体"/>
          <w:color w:val="000000"/>
          <w:sz w:val="28"/>
          <w:szCs w:val="28"/>
        </w:rPr>
        <w:t>承诺书等材料，其中原厂授权完备性、不停机</w:t>
      </w:r>
      <w:r>
        <w:rPr>
          <w:rFonts w:hint="eastAsia" w:ascii="宋体" w:hAnsi="宋体" w:cs="宋体"/>
          <w:color w:val="000000"/>
          <w:sz w:val="28"/>
          <w:szCs w:val="28"/>
          <w:lang w:val="en-US" w:eastAsia="zh-CN"/>
        </w:rPr>
        <w:t>改造</w:t>
      </w:r>
      <w:r>
        <w:rPr>
          <w:rFonts w:ascii="宋体" w:hAnsi="宋体" w:cs="宋体"/>
          <w:color w:val="000000"/>
          <w:sz w:val="28"/>
          <w:szCs w:val="28"/>
        </w:rPr>
        <w:t>承诺等关键条款不满足者按无效投标处理。</w:t>
      </w:r>
    </w:p>
    <w:p w14:paraId="5169DA75">
      <w:pPr>
        <w:spacing w:line="360" w:lineRule="auto"/>
        <w:ind w:firstLine="480"/>
        <w:rPr>
          <w:rFonts w:ascii="宋体" w:hAnsi="宋体" w:cs="宋体"/>
          <w:color w:val="000000"/>
          <w:sz w:val="28"/>
          <w:szCs w:val="28"/>
        </w:rPr>
      </w:pPr>
      <w:r>
        <w:rPr>
          <w:rFonts w:hint="eastAsia" w:ascii="宋体" w:hAnsi="宋体" w:cs="宋体"/>
          <w:color w:val="000000"/>
          <w:sz w:val="28"/>
          <w:szCs w:val="28"/>
        </w:rPr>
        <w:t>故障级别定义及解决时间要求如下：</w:t>
      </w:r>
    </w:p>
    <w:tbl>
      <w:tblPr>
        <w:tblStyle w:val="5"/>
        <w:tblW w:w="86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99"/>
        <w:gridCol w:w="1396"/>
        <w:gridCol w:w="1559"/>
        <w:gridCol w:w="1418"/>
        <w:gridCol w:w="1294"/>
        <w:gridCol w:w="1257"/>
      </w:tblGrid>
      <w:tr w14:paraId="53181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noWrap w:val="0"/>
            <w:vAlign w:val="top"/>
          </w:tcPr>
          <w:p w14:paraId="3E0EFD26">
            <w:pPr>
              <w:jc w:val="center"/>
              <w:rPr>
                <w:rFonts w:ascii="宋体" w:hAnsi="宋体" w:cs="宋体"/>
                <w:color w:val="000000"/>
                <w:sz w:val="28"/>
                <w:szCs w:val="28"/>
              </w:rPr>
            </w:pPr>
            <w:r>
              <w:rPr>
                <w:rFonts w:hint="eastAsia" w:ascii="宋体" w:hAnsi="宋体" w:cs="宋体"/>
                <w:color w:val="000000"/>
                <w:sz w:val="28"/>
                <w:szCs w:val="28"/>
              </w:rPr>
              <w:t>故障级别</w:t>
            </w:r>
          </w:p>
        </w:tc>
        <w:tc>
          <w:tcPr>
            <w:tcW w:w="1396" w:type="dxa"/>
            <w:noWrap w:val="0"/>
            <w:vAlign w:val="top"/>
          </w:tcPr>
          <w:p w14:paraId="4DB752A1">
            <w:pPr>
              <w:jc w:val="center"/>
              <w:rPr>
                <w:rFonts w:ascii="宋体" w:hAnsi="宋体" w:cs="宋体"/>
                <w:color w:val="000000"/>
                <w:sz w:val="28"/>
                <w:szCs w:val="28"/>
              </w:rPr>
            </w:pPr>
            <w:r>
              <w:rPr>
                <w:rFonts w:hint="eastAsia" w:ascii="宋体" w:hAnsi="宋体" w:cs="宋体"/>
                <w:color w:val="000000"/>
                <w:sz w:val="28"/>
                <w:szCs w:val="28"/>
              </w:rPr>
              <w:t>技术人员到场时间</w:t>
            </w:r>
          </w:p>
        </w:tc>
        <w:tc>
          <w:tcPr>
            <w:tcW w:w="1559" w:type="dxa"/>
            <w:noWrap w:val="0"/>
            <w:vAlign w:val="top"/>
          </w:tcPr>
          <w:p w14:paraId="065B2762">
            <w:pPr>
              <w:jc w:val="center"/>
              <w:rPr>
                <w:rFonts w:ascii="宋体" w:hAnsi="宋体" w:cs="宋体"/>
                <w:color w:val="000000"/>
                <w:sz w:val="28"/>
                <w:szCs w:val="28"/>
              </w:rPr>
            </w:pPr>
            <w:r>
              <w:rPr>
                <w:rFonts w:hint="eastAsia" w:ascii="宋体" w:hAnsi="宋体" w:cs="宋体"/>
                <w:color w:val="000000"/>
                <w:sz w:val="28"/>
                <w:szCs w:val="28"/>
              </w:rPr>
              <w:t>提出解决方案</w:t>
            </w:r>
          </w:p>
        </w:tc>
        <w:tc>
          <w:tcPr>
            <w:tcW w:w="1418" w:type="dxa"/>
            <w:noWrap w:val="0"/>
            <w:vAlign w:val="top"/>
          </w:tcPr>
          <w:p w14:paraId="1C422ACC">
            <w:pPr>
              <w:jc w:val="center"/>
              <w:rPr>
                <w:rFonts w:ascii="宋体" w:hAnsi="宋体" w:cs="宋体"/>
                <w:color w:val="000000"/>
                <w:sz w:val="28"/>
                <w:szCs w:val="28"/>
              </w:rPr>
            </w:pPr>
            <w:r>
              <w:rPr>
                <w:rFonts w:hint="eastAsia" w:ascii="宋体" w:hAnsi="宋体" w:cs="宋体"/>
                <w:color w:val="000000"/>
                <w:sz w:val="28"/>
                <w:szCs w:val="28"/>
              </w:rPr>
              <w:t>备件到场时间</w:t>
            </w:r>
          </w:p>
        </w:tc>
        <w:tc>
          <w:tcPr>
            <w:tcW w:w="1294" w:type="dxa"/>
            <w:noWrap w:val="0"/>
            <w:vAlign w:val="top"/>
          </w:tcPr>
          <w:p w14:paraId="486B6348">
            <w:pPr>
              <w:jc w:val="center"/>
              <w:rPr>
                <w:rFonts w:ascii="宋体" w:hAnsi="宋体" w:cs="宋体"/>
                <w:color w:val="000000"/>
                <w:sz w:val="28"/>
                <w:szCs w:val="28"/>
              </w:rPr>
            </w:pPr>
            <w:r>
              <w:rPr>
                <w:rFonts w:hint="eastAsia" w:ascii="宋体" w:hAnsi="宋体" w:cs="宋体"/>
                <w:color w:val="000000"/>
                <w:sz w:val="28"/>
                <w:szCs w:val="28"/>
              </w:rPr>
              <w:t>解决时间</w:t>
            </w:r>
          </w:p>
        </w:tc>
        <w:tc>
          <w:tcPr>
            <w:tcW w:w="1257" w:type="dxa"/>
            <w:noWrap w:val="0"/>
            <w:vAlign w:val="top"/>
          </w:tcPr>
          <w:p w14:paraId="248AE0D0">
            <w:pPr>
              <w:jc w:val="center"/>
              <w:rPr>
                <w:rFonts w:ascii="宋体" w:hAnsi="宋体" w:cs="宋体"/>
                <w:color w:val="000000"/>
                <w:sz w:val="28"/>
                <w:szCs w:val="28"/>
              </w:rPr>
            </w:pPr>
            <w:r>
              <w:rPr>
                <w:rFonts w:hint="eastAsia" w:ascii="宋体" w:hAnsi="宋体" w:cs="宋体"/>
                <w:color w:val="000000"/>
                <w:sz w:val="28"/>
                <w:szCs w:val="28"/>
              </w:rPr>
              <w:t>其他</w:t>
            </w:r>
          </w:p>
        </w:tc>
      </w:tr>
      <w:tr w14:paraId="74FC0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 w:hRule="atLeast"/>
          <w:jc w:val="center"/>
        </w:trPr>
        <w:tc>
          <w:tcPr>
            <w:tcW w:w="1699" w:type="dxa"/>
            <w:noWrap w:val="0"/>
            <w:vAlign w:val="top"/>
          </w:tcPr>
          <w:p w14:paraId="2ECE1D51">
            <w:pPr>
              <w:rPr>
                <w:rFonts w:ascii="宋体" w:hAnsi="宋体" w:cs="宋体"/>
                <w:color w:val="000000"/>
                <w:sz w:val="28"/>
                <w:szCs w:val="28"/>
              </w:rPr>
            </w:pPr>
            <w:r>
              <w:rPr>
                <w:rFonts w:hint="eastAsia" w:ascii="宋体" w:hAnsi="宋体" w:cs="宋体"/>
                <w:color w:val="000000"/>
                <w:sz w:val="28"/>
                <w:szCs w:val="28"/>
              </w:rPr>
              <w:t>Ⅰ级：属于重特大故障</w:t>
            </w:r>
            <w:r>
              <w:rPr>
                <w:rFonts w:hint="eastAsia" w:ascii="宋体" w:hAnsi="宋体" w:cs="宋体"/>
                <w:bCs/>
                <w:color w:val="000000"/>
                <w:sz w:val="28"/>
                <w:szCs w:val="28"/>
              </w:rPr>
              <w:t>或系统存在重大安全隐患的情况下</w:t>
            </w:r>
            <w:r>
              <w:rPr>
                <w:rFonts w:hint="eastAsia" w:ascii="宋体" w:hAnsi="宋体" w:cs="宋体"/>
                <w:color w:val="000000"/>
                <w:sz w:val="28"/>
                <w:szCs w:val="28"/>
              </w:rPr>
              <w:t>。</w:t>
            </w:r>
          </w:p>
        </w:tc>
        <w:tc>
          <w:tcPr>
            <w:tcW w:w="1396" w:type="dxa"/>
            <w:noWrap w:val="0"/>
            <w:vAlign w:val="top"/>
          </w:tcPr>
          <w:p w14:paraId="124D4044">
            <w:pPr>
              <w:rPr>
                <w:rFonts w:ascii="宋体" w:hAnsi="宋体" w:cs="宋体"/>
                <w:color w:val="000000"/>
                <w:sz w:val="28"/>
                <w:szCs w:val="28"/>
              </w:rPr>
            </w:pPr>
            <w:r>
              <w:rPr>
                <w:rFonts w:hint="eastAsia" w:ascii="宋体" w:hAnsi="宋体" w:cs="宋体"/>
                <w:color w:val="000000"/>
                <w:sz w:val="28"/>
                <w:szCs w:val="28"/>
              </w:rPr>
              <w:t>接报30分钟以内到现场</w:t>
            </w:r>
          </w:p>
        </w:tc>
        <w:tc>
          <w:tcPr>
            <w:tcW w:w="1559" w:type="dxa"/>
            <w:noWrap w:val="0"/>
            <w:vAlign w:val="top"/>
          </w:tcPr>
          <w:p w14:paraId="47AF2467">
            <w:pPr>
              <w:rPr>
                <w:rFonts w:ascii="宋体" w:hAnsi="宋体" w:cs="宋体"/>
                <w:color w:val="000000"/>
                <w:sz w:val="28"/>
                <w:szCs w:val="28"/>
              </w:rPr>
            </w:pPr>
            <w:r>
              <w:rPr>
                <w:rFonts w:hint="eastAsia" w:ascii="宋体" w:hAnsi="宋体" w:cs="宋体"/>
                <w:color w:val="000000"/>
                <w:sz w:val="28"/>
                <w:szCs w:val="28"/>
              </w:rPr>
              <w:t>到现场后1小时内提交故障解决方案</w:t>
            </w:r>
          </w:p>
        </w:tc>
        <w:tc>
          <w:tcPr>
            <w:tcW w:w="1418" w:type="dxa"/>
            <w:noWrap w:val="0"/>
            <w:vAlign w:val="top"/>
          </w:tcPr>
          <w:p w14:paraId="609751B3">
            <w:pPr>
              <w:rPr>
                <w:rFonts w:ascii="宋体" w:hAnsi="宋体" w:cs="宋体"/>
                <w:color w:val="000000"/>
                <w:sz w:val="28"/>
                <w:szCs w:val="28"/>
              </w:rPr>
            </w:pPr>
            <w:r>
              <w:rPr>
                <w:rFonts w:hint="eastAsia" w:ascii="宋体" w:hAnsi="宋体" w:cs="宋体"/>
                <w:color w:val="000000"/>
                <w:sz w:val="28"/>
                <w:szCs w:val="28"/>
              </w:rPr>
              <w:t>提出解决方案后1小时到现场</w:t>
            </w:r>
          </w:p>
        </w:tc>
        <w:tc>
          <w:tcPr>
            <w:tcW w:w="1294" w:type="dxa"/>
            <w:noWrap w:val="0"/>
            <w:vAlign w:val="top"/>
          </w:tcPr>
          <w:p w14:paraId="11320264">
            <w:pPr>
              <w:rPr>
                <w:rFonts w:ascii="宋体" w:hAnsi="宋体" w:cs="宋体"/>
                <w:color w:val="000000"/>
                <w:sz w:val="28"/>
                <w:szCs w:val="28"/>
              </w:rPr>
            </w:pPr>
            <w:r>
              <w:rPr>
                <w:rFonts w:hint="eastAsia" w:ascii="宋体" w:hAnsi="宋体" w:cs="宋体"/>
                <w:color w:val="000000"/>
                <w:sz w:val="28"/>
                <w:szCs w:val="28"/>
              </w:rPr>
              <w:t>接报3小时以内</w:t>
            </w:r>
          </w:p>
        </w:tc>
        <w:tc>
          <w:tcPr>
            <w:tcW w:w="1257" w:type="dxa"/>
            <w:vMerge w:val="restart"/>
            <w:noWrap w:val="0"/>
            <w:vAlign w:val="top"/>
          </w:tcPr>
          <w:p w14:paraId="425AFAAB">
            <w:pPr>
              <w:rPr>
                <w:rFonts w:ascii="宋体" w:hAnsi="宋体" w:cs="宋体"/>
                <w:color w:val="000000"/>
                <w:sz w:val="28"/>
                <w:szCs w:val="28"/>
              </w:rPr>
            </w:pPr>
            <w:r>
              <w:rPr>
                <w:rFonts w:hint="eastAsia" w:ascii="宋体" w:hAnsi="宋体" w:cs="宋体"/>
                <w:color w:val="000000"/>
                <w:sz w:val="28"/>
                <w:szCs w:val="28"/>
              </w:rPr>
              <w:t>特殊情况，电话通知或下发《紧急维修通知单》，3小时内必须修复。</w:t>
            </w:r>
          </w:p>
        </w:tc>
      </w:tr>
      <w:tr w14:paraId="2A51C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noWrap w:val="0"/>
            <w:vAlign w:val="top"/>
          </w:tcPr>
          <w:p w14:paraId="7C8581FB">
            <w:pPr>
              <w:rPr>
                <w:rFonts w:ascii="宋体" w:hAnsi="宋体" w:cs="宋体"/>
                <w:color w:val="000000"/>
                <w:sz w:val="28"/>
                <w:szCs w:val="28"/>
              </w:rPr>
            </w:pPr>
            <w:r>
              <w:rPr>
                <w:rFonts w:hint="eastAsia" w:ascii="宋体" w:hAnsi="宋体" w:cs="宋体"/>
                <w:color w:val="000000"/>
                <w:sz w:val="28"/>
                <w:szCs w:val="28"/>
              </w:rPr>
              <w:t>Ⅱ级：属于严重问题：其具体现象为：部分服务器系统发生故障、或小面积瘫痪但不影响系统整体运行。</w:t>
            </w:r>
          </w:p>
        </w:tc>
        <w:tc>
          <w:tcPr>
            <w:tcW w:w="1396" w:type="dxa"/>
            <w:noWrap w:val="0"/>
            <w:vAlign w:val="top"/>
          </w:tcPr>
          <w:p w14:paraId="160A9CB3">
            <w:pPr>
              <w:rPr>
                <w:rFonts w:ascii="宋体" w:hAnsi="宋体" w:cs="宋体"/>
                <w:color w:val="000000"/>
                <w:sz w:val="28"/>
                <w:szCs w:val="28"/>
              </w:rPr>
            </w:pPr>
            <w:r>
              <w:rPr>
                <w:rFonts w:hint="eastAsia" w:ascii="宋体" w:hAnsi="宋体" w:cs="宋体"/>
                <w:color w:val="000000"/>
                <w:sz w:val="28"/>
                <w:szCs w:val="28"/>
              </w:rPr>
              <w:t>接报30分钟以内到现场</w:t>
            </w:r>
          </w:p>
        </w:tc>
        <w:tc>
          <w:tcPr>
            <w:tcW w:w="1559" w:type="dxa"/>
            <w:noWrap w:val="0"/>
            <w:vAlign w:val="top"/>
          </w:tcPr>
          <w:p w14:paraId="6D21F6DD">
            <w:pPr>
              <w:rPr>
                <w:rFonts w:ascii="宋体" w:hAnsi="宋体" w:cs="宋体"/>
                <w:color w:val="000000"/>
                <w:sz w:val="28"/>
                <w:szCs w:val="28"/>
              </w:rPr>
            </w:pPr>
            <w:r>
              <w:rPr>
                <w:rFonts w:hint="eastAsia" w:ascii="宋体" w:hAnsi="宋体" w:cs="宋体"/>
                <w:color w:val="000000"/>
                <w:sz w:val="28"/>
                <w:szCs w:val="28"/>
              </w:rPr>
              <w:t>到现场后1小时内提交故障解决方案</w:t>
            </w:r>
          </w:p>
        </w:tc>
        <w:tc>
          <w:tcPr>
            <w:tcW w:w="1418" w:type="dxa"/>
            <w:noWrap w:val="0"/>
            <w:vAlign w:val="top"/>
          </w:tcPr>
          <w:p w14:paraId="231C0557">
            <w:pPr>
              <w:rPr>
                <w:rFonts w:ascii="宋体" w:hAnsi="宋体" w:cs="宋体"/>
                <w:color w:val="000000"/>
                <w:sz w:val="28"/>
                <w:szCs w:val="28"/>
              </w:rPr>
            </w:pPr>
            <w:r>
              <w:rPr>
                <w:rFonts w:hint="eastAsia" w:ascii="宋体" w:hAnsi="宋体" w:cs="宋体"/>
                <w:color w:val="000000"/>
                <w:sz w:val="28"/>
                <w:szCs w:val="28"/>
              </w:rPr>
              <w:t>提出解决方案后1小时到现场</w:t>
            </w:r>
          </w:p>
        </w:tc>
        <w:tc>
          <w:tcPr>
            <w:tcW w:w="1294" w:type="dxa"/>
            <w:noWrap w:val="0"/>
            <w:vAlign w:val="top"/>
          </w:tcPr>
          <w:p w14:paraId="4A8CF499">
            <w:pPr>
              <w:rPr>
                <w:rFonts w:ascii="宋体" w:hAnsi="宋体" w:cs="宋体"/>
                <w:color w:val="000000"/>
                <w:sz w:val="28"/>
                <w:szCs w:val="28"/>
              </w:rPr>
            </w:pPr>
            <w:r>
              <w:rPr>
                <w:rFonts w:hint="eastAsia" w:ascii="宋体" w:hAnsi="宋体" w:cs="宋体"/>
                <w:color w:val="000000"/>
                <w:sz w:val="28"/>
                <w:szCs w:val="28"/>
              </w:rPr>
              <w:t>接报6小时以内</w:t>
            </w:r>
          </w:p>
        </w:tc>
        <w:tc>
          <w:tcPr>
            <w:tcW w:w="1257" w:type="dxa"/>
            <w:vMerge w:val="continue"/>
            <w:noWrap w:val="0"/>
            <w:vAlign w:val="top"/>
          </w:tcPr>
          <w:p w14:paraId="5E947913">
            <w:pPr>
              <w:rPr>
                <w:rFonts w:ascii="宋体" w:hAnsi="宋体" w:cs="宋体"/>
                <w:color w:val="000000"/>
                <w:sz w:val="28"/>
                <w:szCs w:val="28"/>
              </w:rPr>
            </w:pPr>
          </w:p>
        </w:tc>
      </w:tr>
      <w:tr w14:paraId="510B1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noWrap w:val="0"/>
            <w:vAlign w:val="top"/>
          </w:tcPr>
          <w:p w14:paraId="50F39ADB">
            <w:pPr>
              <w:rPr>
                <w:rFonts w:ascii="宋体" w:hAnsi="宋体" w:cs="宋体"/>
                <w:color w:val="000000"/>
                <w:sz w:val="28"/>
                <w:szCs w:val="28"/>
              </w:rPr>
            </w:pPr>
            <w:r>
              <w:rPr>
                <w:rFonts w:hint="eastAsia" w:ascii="宋体" w:hAnsi="宋体" w:cs="宋体"/>
                <w:color w:val="000000"/>
                <w:sz w:val="28"/>
                <w:szCs w:val="28"/>
              </w:rPr>
              <w:t>Ⅲ级：属于普通问题：其具体现象为：服务器、存储硬盘故障，交换机单点故障，服务故障。</w:t>
            </w:r>
          </w:p>
        </w:tc>
        <w:tc>
          <w:tcPr>
            <w:tcW w:w="1396" w:type="dxa"/>
            <w:noWrap w:val="0"/>
            <w:vAlign w:val="top"/>
          </w:tcPr>
          <w:p w14:paraId="7C30A304">
            <w:pPr>
              <w:rPr>
                <w:rFonts w:ascii="宋体" w:hAnsi="宋体" w:cs="宋体"/>
                <w:color w:val="000000"/>
                <w:sz w:val="28"/>
                <w:szCs w:val="28"/>
              </w:rPr>
            </w:pPr>
            <w:r>
              <w:rPr>
                <w:rFonts w:hint="eastAsia" w:ascii="宋体" w:hAnsi="宋体" w:cs="宋体"/>
                <w:color w:val="000000"/>
                <w:sz w:val="28"/>
                <w:szCs w:val="28"/>
              </w:rPr>
              <w:t>接报2小时内到现场</w:t>
            </w:r>
          </w:p>
        </w:tc>
        <w:tc>
          <w:tcPr>
            <w:tcW w:w="1559" w:type="dxa"/>
            <w:noWrap w:val="0"/>
            <w:vAlign w:val="top"/>
          </w:tcPr>
          <w:p w14:paraId="067B8F93">
            <w:pPr>
              <w:rPr>
                <w:rFonts w:ascii="宋体" w:hAnsi="宋体" w:cs="宋体"/>
                <w:color w:val="000000"/>
                <w:sz w:val="28"/>
                <w:szCs w:val="28"/>
              </w:rPr>
            </w:pPr>
            <w:r>
              <w:rPr>
                <w:rFonts w:hint="eastAsia" w:ascii="宋体" w:hAnsi="宋体" w:cs="宋体"/>
                <w:color w:val="000000"/>
                <w:sz w:val="28"/>
                <w:szCs w:val="28"/>
              </w:rPr>
              <w:t>即时提交或到现场后1小时内提交解决方案</w:t>
            </w:r>
          </w:p>
        </w:tc>
        <w:tc>
          <w:tcPr>
            <w:tcW w:w="1418" w:type="dxa"/>
            <w:noWrap w:val="0"/>
            <w:vAlign w:val="top"/>
          </w:tcPr>
          <w:p w14:paraId="65224156">
            <w:pPr>
              <w:rPr>
                <w:rFonts w:ascii="宋体" w:hAnsi="宋体" w:cs="宋体"/>
                <w:color w:val="000000"/>
                <w:sz w:val="28"/>
                <w:szCs w:val="28"/>
              </w:rPr>
            </w:pPr>
            <w:r>
              <w:rPr>
                <w:rFonts w:hint="eastAsia" w:ascii="宋体" w:hAnsi="宋体" w:cs="宋体"/>
                <w:color w:val="000000"/>
                <w:sz w:val="28"/>
                <w:szCs w:val="28"/>
              </w:rPr>
              <w:t>视情况而定</w:t>
            </w:r>
          </w:p>
        </w:tc>
        <w:tc>
          <w:tcPr>
            <w:tcW w:w="1294" w:type="dxa"/>
            <w:noWrap w:val="0"/>
            <w:vAlign w:val="top"/>
          </w:tcPr>
          <w:p w14:paraId="5A1A0A8F">
            <w:pPr>
              <w:rPr>
                <w:rFonts w:ascii="宋体" w:hAnsi="宋体" w:cs="宋体"/>
                <w:color w:val="000000"/>
                <w:sz w:val="28"/>
                <w:szCs w:val="28"/>
              </w:rPr>
            </w:pPr>
            <w:r>
              <w:rPr>
                <w:rFonts w:hint="eastAsia" w:ascii="宋体" w:hAnsi="宋体" w:cs="宋体"/>
                <w:color w:val="000000"/>
                <w:sz w:val="28"/>
                <w:szCs w:val="28"/>
              </w:rPr>
              <w:t>接报12小时以内</w:t>
            </w:r>
          </w:p>
        </w:tc>
        <w:tc>
          <w:tcPr>
            <w:tcW w:w="1257" w:type="dxa"/>
            <w:vMerge w:val="continue"/>
            <w:noWrap w:val="0"/>
            <w:vAlign w:val="top"/>
          </w:tcPr>
          <w:p w14:paraId="0CED6420">
            <w:pPr>
              <w:rPr>
                <w:rFonts w:ascii="宋体" w:hAnsi="宋体" w:cs="宋体"/>
                <w:color w:val="000000"/>
                <w:sz w:val="28"/>
                <w:szCs w:val="28"/>
              </w:rPr>
            </w:pPr>
          </w:p>
        </w:tc>
      </w:tr>
    </w:tbl>
    <w:p w14:paraId="7B1E8887">
      <w:pPr>
        <w:spacing w:line="560" w:lineRule="exact"/>
        <w:ind w:firstLine="560" w:firstLineChars="200"/>
        <w:rPr>
          <w:rFonts w:ascii="宋体" w:hAnsi="宋体"/>
          <w:color w:val="000000"/>
          <w:sz w:val="28"/>
          <w:szCs w:val="28"/>
        </w:rPr>
      </w:pPr>
      <w:r>
        <w:rPr>
          <w:rFonts w:hint="eastAsia" w:ascii="宋体" w:hAnsi="宋体" w:cs="宋体"/>
          <w:color w:val="000000"/>
          <w:sz w:val="28"/>
          <w:szCs w:val="28"/>
        </w:rPr>
        <w:t>2、培训要求：项目实施结束后，在接到采购人培训指令时，应在采购人规定的时间到达培训地点，对采购人相关管理人员进行免费现场培训</w:t>
      </w:r>
      <w:r>
        <w:rPr>
          <w:rFonts w:ascii="宋体" w:hAnsi="宋体" w:cs="宋体"/>
          <w:color w:val="000000"/>
          <w:sz w:val="28"/>
          <w:szCs w:val="28"/>
        </w:rPr>
        <w:t>,</w:t>
      </w:r>
      <w:r>
        <w:rPr>
          <w:rFonts w:hint="eastAsia" w:ascii="宋体" w:hAnsi="宋体" w:cs="宋体"/>
          <w:color w:val="000000"/>
          <w:sz w:val="28"/>
          <w:szCs w:val="28"/>
        </w:rPr>
        <w:t>提供不少于 3人/天的培训，采购人经过培训后，应能熟练掌握使用方法，独立完成日常的维护工作，掌握日常运行情况并能及时了解并排除大部分的日常故障。</w:t>
      </w:r>
    </w:p>
    <w:p w14:paraId="32114D23">
      <w:pPr>
        <w:spacing w:line="560" w:lineRule="exact"/>
        <w:ind w:firstLine="560" w:firstLineChars="200"/>
        <w:rPr>
          <w:rFonts w:ascii="宋体" w:hAnsi="宋体"/>
          <w:color w:val="000000"/>
          <w:sz w:val="28"/>
          <w:szCs w:val="28"/>
        </w:rPr>
      </w:pPr>
      <w:r>
        <w:rPr>
          <w:rFonts w:hint="eastAsia" w:ascii="宋体" w:hAnsi="宋体"/>
          <w:color w:val="000000"/>
          <w:sz w:val="28"/>
          <w:szCs w:val="28"/>
        </w:rPr>
        <w:t>3、</w:t>
      </w:r>
      <w:r>
        <w:rPr>
          <w:rFonts w:hint="eastAsia" w:ascii="宋体" w:hAnsi="宋体" w:cs="宋体"/>
          <w:color w:val="000000"/>
          <w:sz w:val="28"/>
          <w:szCs w:val="28"/>
        </w:rPr>
        <w:t>调研方</w:t>
      </w:r>
      <w:r>
        <w:rPr>
          <w:rFonts w:hint="eastAsia" w:ascii="宋体" w:hAnsi="宋体"/>
          <w:color w:val="000000"/>
          <w:sz w:val="28"/>
          <w:szCs w:val="28"/>
        </w:rPr>
        <w:t>必须是生产厂家或取得厂家授权的代理商，调研时代理商需提供原厂针对此项目的授权函；</w:t>
      </w:r>
    </w:p>
    <w:p w14:paraId="41717D42">
      <w:pPr>
        <w:spacing w:line="560" w:lineRule="exact"/>
        <w:rPr>
          <w:rFonts w:ascii="宋体" w:hAnsi="宋体"/>
          <w:b/>
          <w:bCs/>
          <w:color w:val="000000"/>
          <w:sz w:val="28"/>
          <w:szCs w:val="28"/>
        </w:rPr>
      </w:pPr>
      <w:r>
        <w:rPr>
          <w:rFonts w:hint="eastAsia" w:ascii="宋体" w:hAnsi="宋体"/>
          <w:b/>
          <w:bCs/>
          <w:color w:val="000000"/>
          <w:sz w:val="28"/>
          <w:szCs w:val="28"/>
        </w:rPr>
        <w:t>三、服务要求</w:t>
      </w:r>
    </w:p>
    <w:p w14:paraId="573F3780">
      <w:pPr>
        <w:spacing w:line="560" w:lineRule="exact"/>
        <w:ind w:firstLine="560" w:firstLineChars="200"/>
        <w:rPr>
          <w:rFonts w:hint="eastAsia" w:ascii="宋体" w:hAnsi="宋体"/>
          <w:color w:val="000000"/>
          <w:sz w:val="28"/>
          <w:szCs w:val="28"/>
        </w:rPr>
      </w:pPr>
      <w:r>
        <w:rPr>
          <w:rFonts w:hint="eastAsia" w:ascii="宋体" w:hAnsi="宋体"/>
          <w:color w:val="000000"/>
          <w:sz w:val="28"/>
          <w:szCs w:val="28"/>
        </w:rPr>
        <w:t>1、质保期：供应商报价时须承诺所供货物的免费质保期为三年（自验收报告签字确认日起，开始进入质保期）。</w:t>
      </w:r>
    </w:p>
    <w:p w14:paraId="504C4B18">
      <w:pPr>
        <w:spacing w:line="560" w:lineRule="exact"/>
        <w:ind w:firstLine="560" w:firstLineChars="200"/>
        <w:rPr>
          <w:rFonts w:hint="eastAsia" w:ascii="宋体" w:hAnsi="宋体"/>
          <w:color w:val="000000"/>
          <w:sz w:val="28"/>
          <w:szCs w:val="28"/>
        </w:rPr>
      </w:pPr>
      <w:r>
        <w:rPr>
          <w:rFonts w:hint="eastAsia" w:ascii="宋体" w:hAnsi="宋体"/>
          <w:color w:val="000000"/>
          <w:sz w:val="28"/>
          <w:szCs w:val="28"/>
        </w:rPr>
        <w:t>2、服务响应时间：在接到服务请求1个小时内到达现场进行服务及保障。</w:t>
      </w:r>
    </w:p>
    <w:p w14:paraId="08EA9100">
      <w:pPr>
        <w:spacing w:line="560" w:lineRule="exact"/>
        <w:ind w:firstLine="560" w:firstLineChars="200"/>
        <w:rPr>
          <w:rFonts w:hint="eastAsia" w:ascii="宋体" w:hAnsi="宋体"/>
          <w:color w:val="000000"/>
          <w:sz w:val="28"/>
          <w:szCs w:val="28"/>
        </w:rPr>
      </w:pPr>
      <w:r>
        <w:rPr>
          <w:rFonts w:hint="eastAsia" w:ascii="宋体" w:hAnsi="宋体"/>
          <w:color w:val="000000"/>
          <w:sz w:val="28"/>
          <w:szCs w:val="28"/>
        </w:rPr>
        <w:t>3、本项目承建商需配合医院一起为业务软件保障工作及所有的硬件集成实施服务工作，根据医院的建设有关规范、标准要求，结合用户实际需要，完成存储改造后的规划方案；完成现有设备的改造及性能调优与测试，提供专业性能测试报告;做好主机的分区划分，存储空间设计规划，划分，映射，同步与异步数据复制配置工作及数据迁移工作，以及整体存储运行情况报告；完成中间件软件运行版本的确认、安装及调优工作。完成备份管理的调整与优化。</w:t>
      </w:r>
    </w:p>
    <w:p w14:paraId="0608E407">
      <w:pPr>
        <w:spacing w:line="560" w:lineRule="exact"/>
        <w:rPr>
          <w:rFonts w:ascii="宋体" w:hAnsi="宋体"/>
          <w:b/>
          <w:bCs/>
          <w:color w:val="000000"/>
          <w:sz w:val="28"/>
          <w:szCs w:val="28"/>
        </w:rPr>
      </w:pPr>
      <w:r>
        <w:rPr>
          <w:rFonts w:hint="eastAsia" w:ascii="宋体" w:hAnsi="宋体"/>
          <w:b/>
          <w:bCs/>
          <w:color w:val="000000"/>
          <w:sz w:val="28"/>
          <w:szCs w:val="28"/>
        </w:rPr>
        <w:t>四、项目实施要求</w:t>
      </w:r>
    </w:p>
    <w:p w14:paraId="577DAAB9">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项目实施时间：签订合同之日起7个工作日内。</w:t>
      </w:r>
    </w:p>
    <w:bookmarkEnd w:id="0"/>
    <w:p w14:paraId="0D1598D7">
      <w:pPr>
        <w:spacing w:line="560" w:lineRule="exact"/>
        <w:rPr>
          <w:rFonts w:hint="eastAsia" w:ascii="宋体" w:hAnsi="宋体" w:cs="仿宋_GB2312"/>
          <w:b/>
          <w:bCs/>
          <w:color w:val="000000"/>
          <w:sz w:val="28"/>
          <w:szCs w:val="28"/>
        </w:rPr>
      </w:pPr>
      <w:r>
        <w:rPr>
          <w:rFonts w:hint="eastAsia" w:ascii="宋体" w:hAnsi="宋体" w:cs="仿宋_GB2312"/>
          <w:b/>
          <w:bCs/>
          <w:color w:val="000000"/>
          <w:sz w:val="28"/>
          <w:szCs w:val="28"/>
        </w:rPr>
        <w:t>五、现场调研</w:t>
      </w:r>
    </w:p>
    <w:p w14:paraId="1D7231D6"/>
    <w:p w14:paraId="7800D3BC">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项目具体情况请查看现场，联系电话：唐工 13222777718。</w:t>
      </w:r>
    </w:p>
    <w:p w14:paraId="1E4C7E49"/>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B0604020202020204"/>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NTY2ZTUwZDFiNGIwMTQyY2QwNjkxYTlmY2E0NzYifQ=="/>
  </w:docVars>
  <w:rsids>
    <w:rsidRoot w:val="61F8231B"/>
    <w:rsid w:val="00472763"/>
    <w:rsid w:val="00716849"/>
    <w:rsid w:val="00854777"/>
    <w:rsid w:val="00D02C65"/>
    <w:rsid w:val="23C92E69"/>
    <w:rsid w:val="2D7A5E52"/>
    <w:rsid w:val="30BC0F82"/>
    <w:rsid w:val="311C66BB"/>
    <w:rsid w:val="329C1497"/>
    <w:rsid w:val="36640F7B"/>
    <w:rsid w:val="43D73020"/>
    <w:rsid w:val="50E56BC4"/>
    <w:rsid w:val="61F8231B"/>
    <w:rsid w:val="6B1A47F0"/>
    <w:rsid w:val="74CE787A"/>
    <w:rsid w:val="7FFF9187"/>
    <w:rsid w:val="DFFFCFE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paragraph" w:styleId="2">
    <w:name w:val="heading 2"/>
    <w:basedOn w:val="1"/>
    <w:next w:val="1"/>
    <w:qFormat/>
    <w:uiPriority w:val="1"/>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4">
    <w:name w:val="heading 4"/>
    <w:basedOn w:val="1"/>
    <w:next w:val="1"/>
    <w:qFormat/>
    <w:uiPriority w:val="0"/>
    <w:pPr>
      <w:keepNext/>
      <w:keepLines/>
      <w:spacing w:before="120" w:after="120"/>
      <w:outlineLvl w:val="3"/>
    </w:pPr>
    <w:rPr>
      <w:rFonts w:ascii="Arial" w:hAnsi="Arial" w:eastAsia="黑体"/>
      <w:b/>
      <w:sz w:val="28"/>
      <w:szCs w:val="20"/>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正文 New"/>
    <w:qFormat/>
    <w:uiPriority w:val="0"/>
    <w:pPr>
      <w:widowControl w:val="0"/>
      <w:jc w:val="both"/>
    </w:pPr>
    <w:rPr>
      <w:rFonts w:ascii="Times New Roman" w:hAnsi="Times New Roman" w:eastAsia="宋体" w:cs="Times New Roman"/>
      <w:szCs w:val="24"/>
      <w:lang w:val="en-US" w:eastAsia="zh-CN" w:bidi="ar-SA"/>
    </w:rPr>
  </w:style>
  <w:style w:type="table" w:customStyle="1" w:styleId="9">
    <w:name w:val="Table Normal"/>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242</Words>
  <Characters>303</Characters>
  <Lines>19</Lines>
  <Paragraphs>5</Paragraphs>
  <TotalTime>2</TotalTime>
  <ScaleCrop>false</ScaleCrop>
  <LinksUpToDate>false</LinksUpToDate>
  <CharactersWithSpaces>305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2026-03-26T03:42:00Z</dcterms:created>
  <dc:creator>李晓兰</dc:creator>
  <cp:lastModifiedBy>唐老鸭</cp:lastModifiedBy>
  <dcterms:modified xsi:type="dcterms:W3CDTF">2026-04-14T00:29:04Z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DFFB4FCC20A34699A9BDEBD2F4B3302D_13</vt:lpwstr>
  </property>
  <property fmtid="{D5CDD505-2E9C-101B-9397-08002B2CF9AE}" pid="4" name="KSOTemplateDocerSaveRecord">
    <vt:lpwstr>eyJoZGlkIjoiZTg1MjYzNDliY2FiZGQ3MjY5N2RjZjRlODNhZWIxNmUiLCJ1c2VySWQiOiIzOTM2OTYwMTgifQ==</vt:lpwstr>
  </property>
</Properties>
</file>