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2"/>
      </w:pPr>
      <w:r>
        <w:rPr>
          <w:rFonts w:hint="eastAsia"/>
          <w:lang w:val="en-US" w:eastAsia="zh-CN"/>
        </w:rPr>
        <w:t>AI预问诊软件</w:t>
      </w:r>
      <w:r>
        <w:rPr>
          <w:rFonts w:hint="eastAsia"/>
        </w:rPr>
        <w:t>采购</w:t>
      </w:r>
      <w:r>
        <w:t>项目调研</w:t>
      </w:r>
      <w:bookmarkStart w:id="2" w:name="_GoBack"/>
      <w:bookmarkEnd w:id="2"/>
    </w:p>
    <w:p w14:paraId="36DF89C3">
      <w:r>
        <w:rPr>
          <w:rFonts w:hint="eastAsia"/>
        </w:rPr>
        <w:t>根据医院工作需要，现对</w:t>
      </w:r>
      <w:r>
        <w:rPr>
          <w:rFonts w:hint="eastAsia"/>
          <w:b/>
        </w:rPr>
        <w:t>本院</w:t>
      </w:r>
      <w:r>
        <w:rPr>
          <w:rFonts w:hint="eastAsia"/>
          <w:b/>
          <w:lang w:val="en-US" w:eastAsia="zh-CN"/>
        </w:rPr>
        <w:t>AI预问诊</w:t>
      </w:r>
      <w:r>
        <w:rPr>
          <w:rFonts w:hint="eastAsia"/>
          <w:b/>
        </w:rPr>
        <w:t>软件采购项目</w:t>
      </w:r>
      <w:r>
        <w:rPr>
          <w:rFonts w:hint="eastAsia"/>
        </w:rPr>
        <w:t>进行采购前需求调查并征集供应商报价，欢迎合格供应商前来响应，具体事宜公告如下：</w:t>
      </w:r>
    </w:p>
    <w:p w14:paraId="447FE381">
      <w:pPr>
        <w:pStyle w:val="3"/>
        <w:ind w:firstLine="643"/>
      </w:pPr>
      <w:r>
        <w:t>一、采购项目内容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5"/>
        <w:gridCol w:w="3746"/>
        <w:gridCol w:w="3178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DC7E45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21678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产品配置</w:t>
            </w:r>
          </w:p>
        </w:tc>
        <w:tc>
          <w:tcPr>
            <w:tcW w:w="3178" w:type="dxa"/>
            <w:tcMar>
              <w:left w:w="108" w:type="dxa"/>
              <w:right w:w="108" w:type="dxa"/>
            </w:tcMar>
            <w:vAlign w:val="center"/>
          </w:tcPr>
          <w:p w14:paraId="3DBA86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  <w:r>
              <w:rPr>
                <w:rFonts w:hint="eastAsia"/>
                <w:b/>
              </w:rPr>
              <w:t>（套）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595" w:type="dxa"/>
            <w:tcMar>
              <w:left w:w="108" w:type="dxa"/>
              <w:right w:w="108" w:type="dxa"/>
            </w:tcMar>
            <w:vAlign w:val="center"/>
          </w:tcPr>
          <w:p w14:paraId="276AA6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1</w:t>
            </w:r>
          </w:p>
        </w:tc>
        <w:tc>
          <w:tcPr>
            <w:tcW w:w="3746" w:type="dxa"/>
            <w:tcMar>
              <w:left w:w="108" w:type="dxa"/>
              <w:right w:w="108" w:type="dxa"/>
            </w:tcMar>
            <w:vAlign w:val="center"/>
          </w:tcPr>
          <w:p w14:paraId="329E6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AI预问诊</w:t>
            </w:r>
            <w:r>
              <w:rPr>
                <w:rFonts w:hint="eastAsia"/>
              </w:rPr>
              <w:t>软件</w:t>
            </w:r>
          </w:p>
        </w:tc>
        <w:tc>
          <w:tcPr>
            <w:tcW w:w="3178" w:type="dxa"/>
            <w:tcMar>
              <w:left w:w="108" w:type="dxa"/>
              <w:right w:w="108" w:type="dxa"/>
            </w:tcMar>
            <w:vAlign w:val="center"/>
          </w:tcPr>
          <w:p w14:paraId="07B194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</w:tr>
    </w:tbl>
    <w:p w14:paraId="069C88A4">
      <w:pPr>
        <w:pStyle w:val="3"/>
        <w:numPr>
          <w:ilvl w:val="0"/>
          <w:numId w:val="1"/>
        </w:numPr>
        <w:ind w:firstLine="643"/>
      </w:pPr>
      <w:r>
        <w:t>核心服务内容</w:t>
      </w:r>
    </w:p>
    <w:p w14:paraId="77BD6C12">
      <w:pPr>
        <w:ind w:firstLine="422"/>
        <w:rPr>
          <w:bCs/>
        </w:rPr>
      </w:pPr>
      <w:r>
        <w:rPr>
          <w:rFonts w:hint="eastAsia"/>
          <w:bCs/>
        </w:rPr>
        <w:t>在当前医疗服务质效升级的迫切需求下，传统静态问卷模式因缺乏动态交互与临床思维引导，导致患者主诉信息笼统、关键细节缺失，难以有效支撑临床诊断。为彻底改变这一现状，</w:t>
      </w:r>
      <w:r>
        <w:rPr>
          <w:rFonts w:hint="eastAsia"/>
          <w:bCs/>
          <w:lang w:val="en-US" w:eastAsia="zh-CN"/>
        </w:rPr>
        <w:t>我院欲</w:t>
      </w:r>
      <w:r>
        <w:rPr>
          <w:rFonts w:hint="eastAsia"/>
          <w:bCs/>
        </w:rPr>
        <w:t>引入AI智能预问诊系统，旨在诊前阶段构建一个专业化、结构化、智能化的动态信息采集平台。支持搭载千亿级智能大模型，支持超拟人化动态追问能力，支持通过多模态交互，实现症状的精准采集与智能导诊。该系统需通过深度融合</w:t>
      </w:r>
      <w:r>
        <w:rPr>
          <w:rFonts w:hint="eastAsia"/>
          <w:bCs/>
          <w:lang w:val="en-US" w:eastAsia="zh-CN"/>
        </w:rPr>
        <w:t>AI</w:t>
      </w:r>
      <w:r>
        <w:rPr>
          <w:rFonts w:hint="eastAsia"/>
          <w:bCs/>
        </w:rPr>
        <w:t>大模型的自然语言交互能力与本院医学知识库的临床路径，以引导式问答精准收集患者症状细节（如发作频率、持续时间、诱发因素、伴随症状等），并运用医疗诊断推理模型进行初步分析与信息结构化，最终生成高质量病史概要并回写至电子病历，助力医生在面诊前即可全面掌握患者病情，实现诊疗效率与质量的同步提升。</w:t>
      </w:r>
    </w:p>
    <w:p w14:paraId="7594E30D">
      <w:pPr>
        <w:numPr>
          <w:ilvl w:val="0"/>
          <w:numId w:val="2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bookmarkStart w:id="0" w:name="_Toc17456"/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智能识别关键信息</w:t>
      </w:r>
      <w:bookmarkEnd w:id="0"/>
    </w:p>
    <w:p w14:paraId="7703871C">
      <w:pPr>
        <w:ind w:firstLine="480"/>
        <w:rPr>
          <w:rFonts w:hint="eastAsia"/>
          <w:szCs w:val="32"/>
        </w:rPr>
      </w:pPr>
      <w:r>
        <w:rPr>
          <w:rFonts w:hint="eastAsia"/>
          <w:szCs w:val="32"/>
        </w:rPr>
        <w:t>在诊前环节，系统综合运用语音识别、自然语言理解及多模态信息处理技术，支持患者通过文字输入、语音对话或上传院外检查报告等多种方式提供信息。系统能够依据问诊逻辑与病历书写规范，自动构建动态问题链，智能引导患者完成从主诉、现病史到既往史、过敏史等关键临床信息的采集。通过内嵌的智能算法，系统可自动识别并精准提取症状、体征等核心医疗实体，依据国家标准病历模型，生成符合临床规范、要素齐全的结构化病史数据。</w:t>
      </w:r>
    </w:p>
    <w:p w14:paraId="20F01BE7">
      <w:pPr>
        <w:numPr>
          <w:ilvl w:val="0"/>
          <w:numId w:val="2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bookmarkStart w:id="1" w:name="_Toc7507"/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帮助医生收集患者的病情</w:t>
      </w:r>
      <w:bookmarkEnd w:id="1"/>
    </w:p>
    <w:p w14:paraId="2BA0B73A">
      <w:pPr>
        <w:ind w:firstLine="422"/>
        <w:rPr>
          <w:rFonts w:hint="eastAsia"/>
          <w:bCs/>
        </w:rPr>
      </w:pPr>
      <w:r>
        <w:rPr>
          <w:rFonts w:hint="eastAsia"/>
          <w:bCs/>
          <w:lang w:val="en-US" w:eastAsia="zh-CN"/>
        </w:rPr>
        <w:t>患者利用诊前或者候诊的碎片化时间，利用智能预问诊</w:t>
      </w:r>
      <w:r>
        <w:rPr>
          <w:rFonts w:hint="eastAsia"/>
          <w:bCs/>
        </w:rPr>
        <w:t>系统通过模拟临床医生诊疗思维来提问和引导，在多轮一问一答的对话中，</w:t>
      </w:r>
      <w:r>
        <w:rPr>
          <w:rFonts w:hint="eastAsia"/>
          <w:bCs/>
          <w:lang w:val="en-US" w:eastAsia="zh-CN"/>
        </w:rPr>
        <w:t>患者</w:t>
      </w:r>
      <w:r>
        <w:rPr>
          <w:rFonts w:hint="eastAsia"/>
          <w:bCs/>
        </w:rPr>
        <w:t>即可完成预诊的病情录入</w:t>
      </w:r>
      <w:r>
        <w:rPr>
          <w:rFonts w:hint="eastAsia"/>
          <w:bCs/>
          <w:lang w:eastAsia="zh-CN"/>
        </w:rPr>
        <w:t>。</w:t>
      </w:r>
    </w:p>
    <w:p w14:paraId="7AE81914">
      <w:pPr>
        <w:numPr>
          <w:ilvl w:val="0"/>
          <w:numId w:val="2"/>
        </w:numPr>
        <w:ind w:left="425" w:leftChars="0" w:hanging="425" w:firstLineChars="0"/>
        <w:rPr>
          <w:rStyle w:val="7"/>
          <w:rFonts w:hint="default" w:ascii="Arial" w:hAnsi="Arial" w:eastAsia="宋体" w:cs="Arial"/>
          <w:color w:val="000000"/>
          <w:lang w:val="en-US" w:eastAsia="zh-CN"/>
        </w:rPr>
      </w:pPr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电子病历引用预问诊信息</w:t>
      </w:r>
    </w:p>
    <w:p w14:paraId="138D2698">
      <w:pPr>
        <w:ind w:firstLine="422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患者完成的预问诊信息及调用我院患者档案信息查询过敏史、既往病史、家族史等信息，经由系统智能处理，可自动生成一份内容准确、格式规范的预问诊电子病历文书，并支持患者二次修改及确认。该文书将通过标准化接口实时、完整地同步至医生工作站及HIS/EMR系统。医生可在接诊前便捷查阅，全面了解患者基本病情；在书写正式病历时，可一键引用或快速修订预问诊内容（需要与HIS对接改造），大幅减少重复性信息录入工作。此举显著缩短了病历书写时间，将医生精力更多地释放于与患者的深度病情沟通和临床决策中，从而有效提升单患者诊疗质量与整体门诊运营效率。</w:t>
      </w:r>
    </w:p>
    <w:p w14:paraId="18CA6A32">
      <w:pPr>
        <w:pStyle w:val="3"/>
        <w:ind w:firstLine="643"/>
        <w:rPr>
          <w:rFonts w:hint="default" w:eastAsia="黑体"/>
          <w:lang w:val="en-US" w:eastAsia="zh-CN"/>
        </w:rPr>
      </w:pPr>
      <w:r>
        <w:t>三、系统技术架构</w:t>
      </w:r>
      <w:r>
        <w:rPr>
          <w:rFonts w:hint="eastAsia"/>
          <w:lang w:val="en-US" w:eastAsia="zh-CN"/>
        </w:rPr>
        <w:t>及最低参数要求</w:t>
      </w:r>
    </w:p>
    <w:p w14:paraId="73B0FBF6">
      <w:pPr>
        <w:numPr>
          <w:ilvl w:val="0"/>
          <w:numId w:val="3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整体架构：</w:t>
      </w:r>
    </w:p>
    <w:p w14:paraId="78FC5339">
      <w:pPr>
        <w:ind w:firstLine="422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整体系统架构遵循用户提示指令输入、AI 智能中枢处理、目标输出/任务执行的闭环交互逻辑，以用户自然语言提示语作为交互输入源，经由人工智能系统完成指令解析、意图理解与任务调度处理，最终输出定制化应答结果或落地执行专项业务任务。</w:t>
      </w:r>
    </w:p>
    <w:p w14:paraId="7B51FA93">
      <w:pPr>
        <w:ind w:firstLine="422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技术架构采用分层解耦、模块化协同设计范式，纵向划分为接入层、应用层、智能体中台层、数据适配与集成层、院内核心业务系统层五大层级，各层级各司其职、纵向联动，实现全流程交互接入、应用承载、智能调度、数据互通及院内业务深度协同。</w:t>
      </w:r>
    </w:p>
    <w:p w14:paraId="666971F1">
      <w:pPr>
        <w:numPr>
          <w:ilvl w:val="0"/>
          <w:numId w:val="3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数据安全：</w:t>
      </w:r>
    </w:p>
    <w:p w14:paraId="19A756B7">
      <w:pPr>
        <w:ind w:firstLine="42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数据脱敏：敏感数据脱敏访问，确保符合《网络安全法》、《个人信息保护法》等相关法律法规，确保用户数据合法收集、存储和使用。</w:t>
      </w:r>
    </w:p>
    <w:p w14:paraId="6F0CD685">
      <w:pPr>
        <w:ind w:firstLine="42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加密传输：SSL证书加密，确保数据在传输过程中不被窃取或篡改。</w:t>
      </w:r>
    </w:p>
    <w:p w14:paraId="2C6912BA">
      <w:pPr>
        <w:ind w:firstLine="42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安全审查：接入的模型均为经过严格审查的模型，并且具备安全沙箱等防护。</w:t>
      </w:r>
    </w:p>
    <w:p w14:paraId="70D85DDD">
      <w:pPr>
        <w:numPr>
          <w:ilvl w:val="0"/>
          <w:numId w:val="3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兼容性：</w:t>
      </w:r>
    </w:p>
    <w:p w14:paraId="4F73E05E">
      <w:pPr>
        <w:ind w:firstLine="422"/>
      </w:pPr>
      <w:r>
        <w:t>支持与医院HIS等现有信息系统对接，数据互通无壁垒。</w:t>
      </w:r>
    </w:p>
    <w:p w14:paraId="2A2A3EFF">
      <w:pPr>
        <w:numPr>
          <w:ilvl w:val="0"/>
          <w:numId w:val="3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易用性：</w:t>
      </w:r>
    </w:p>
    <w:p w14:paraId="2B73559C">
      <w:pPr>
        <w:ind w:firstLine="422"/>
      </w:pPr>
      <w:r>
        <w:t>界面简洁、操作便捷，无需专业培训，医患双方均可轻松上手使用</w:t>
      </w:r>
      <w:r>
        <w:rPr>
          <w:rFonts w:hint="eastAsia"/>
          <w:lang w:eastAsia="zh-CN"/>
        </w:rPr>
        <w:t>。</w:t>
      </w:r>
    </w:p>
    <w:p w14:paraId="37BFCCE6">
      <w:pPr>
        <w:numPr>
          <w:ilvl w:val="0"/>
          <w:numId w:val="3"/>
        </w:numPr>
        <w:ind w:left="425" w:leftChars="0" w:hanging="425" w:firstLineChars="0"/>
        <w:rPr>
          <w:rStyle w:val="7"/>
          <w:rFonts w:hint="eastAsia" w:ascii="Arial" w:hAnsi="Arial" w:eastAsia="宋体" w:cs="Arial"/>
          <w:color w:val="000000"/>
          <w:lang w:val="en-US" w:eastAsia="zh-CN"/>
        </w:rPr>
      </w:pPr>
      <w:r>
        <w:rPr>
          <w:rStyle w:val="7"/>
          <w:rFonts w:hint="eastAsia" w:ascii="Arial" w:hAnsi="Arial" w:eastAsia="宋体" w:cs="Arial"/>
          <w:color w:val="000000"/>
          <w:lang w:val="en-US" w:eastAsia="zh-CN"/>
        </w:rPr>
        <w:t>部署方式：</w:t>
      </w:r>
    </w:p>
    <w:p w14:paraId="62F0B83D">
      <w:pPr>
        <w:ind w:firstLine="42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要求</w:t>
      </w:r>
      <w:r>
        <w:rPr>
          <w:rFonts w:hint="eastAsia"/>
        </w:rPr>
        <w:t>SaaS模式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提供一年token使用量预估。</w:t>
      </w:r>
    </w:p>
    <w:p w14:paraId="143D6B0B">
      <w:pPr>
        <w:ind w:firstLine="422"/>
      </w:pPr>
    </w:p>
    <w:p w14:paraId="55A3EAC5">
      <w:pPr>
        <w:ind w:firstLine="422"/>
      </w:pPr>
    </w:p>
    <w:p w14:paraId="02A804E3">
      <w:pPr>
        <w:pStyle w:val="3"/>
        <w:ind w:firstLine="643"/>
      </w:pPr>
      <w:r>
        <w:t>四、商务售后要求</w:t>
      </w:r>
    </w:p>
    <w:p w14:paraId="02D02952">
      <w:pPr>
        <w:ind w:firstLine="422"/>
      </w:pPr>
      <w:r>
        <w:rPr>
          <w:rStyle w:val="7"/>
          <w:rFonts w:ascii="Arial" w:hAnsi="Arial" w:cs="Arial"/>
          <w:color w:val="000000"/>
        </w:rPr>
        <w:t>免费质保</w:t>
      </w:r>
      <w:r>
        <w:t>：供应商提供</w:t>
      </w:r>
      <w:r>
        <w:rPr>
          <w:rStyle w:val="7"/>
          <w:rFonts w:ascii="Arial" w:hAnsi="Arial" w:cs="Arial"/>
          <w:b w:val="0"/>
          <w:color w:val="000000"/>
        </w:rPr>
        <w:t>1年免费基础技术保障服务</w:t>
      </w:r>
      <w:r>
        <w:rPr>
          <w:b/>
        </w:rPr>
        <w:t>，</w:t>
      </w:r>
      <w:r>
        <w:t>质保期内提供常态化远程技术支撑、故障排查、版本升级。</w:t>
      </w:r>
    </w:p>
    <w:p w14:paraId="06CDF2C1">
      <w:pPr>
        <w:ind w:firstLine="422"/>
      </w:pPr>
      <w:r>
        <w:rPr>
          <w:rStyle w:val="7"/>
          <w:rFonts w:ascii="Arial" w:hAnsi="Arial" w:cs="Arial"/>
          <w:color w:val="000000"/>
        </w:rPr>
        <w:t>服务体系</w:t>
      </w:r>
      <w:r>
        <w:t>：供应商须具备完善售后服务体系，</w:t>
      </w:r>
      <w:r>
        <w:rPr>
          <w:rFonts w:hint="eastAsia"/>
        </w:rPr>
        <w:t>提供本地化服务。</w:t>
      </w:r>
    </w:p>
    <w:p w14:paraId="25E696EC">
      <w:pPr>
        <w:ind w:firstLine="422"/>
      </w:pPr>
      <w:r>
        <w:rPr>
          <w:rStyle w:val="7"/>
          <w:rFonts w:ascii="Arial" w:hAnsi="Arial" w:cs="Arial"/>
          <w:color w:val="000000"/>
        </w:rPr>
        <w:t>响应标准</w:t>
      </w:r>
      <w:r>
        <w:t>：提供</w:t>
      </w:r>
      <w:r>
        <w:rPr>
          <w:rStyle w:val="7"/>
          <w:rFonts w:ascii="Arial" w:hAnsi="Arial" w:cs="Arial"/>
          <w:b w:val="0"/>
          <w:color w:val="000000"/>
        </w:rPr>
        <w:t>7×8小时</w:t>
      </w:r>
      <w:r>
        <w:t>远程咨询与线上技术支持；远程可解决问题优先远程处置；确需现场处置、系统合规升级的，按双方约定及时提供上门服务。</w:t>
      </w:r>
    </w:p>
    <w:p w14:paraId="1A38B286">
      <w:pPr>
        <w:pStyle w:val="3"/>
        <w:ind w:firstLine="643"/>
      </w:pPr>
      <w:r>
        <w:t>五、项目实施要求</w:t>
      </w:r>
    </w:p>
    <w:p w14:paraId="5E9C0C94">
      <w:pPr>
        <w:ind w:firstLine="422"/>
      </w:pPr>
      <w:r>
        <w:rPr>
          <w:rStyle w:val="7"/>
          <w:rFonts w:ascii="Arial" w:hAnsi="Arial" w:cs="Arial"/>
          <w:color w:val="000000"/>
        </w:rPr>
        <w:t>实施周期</w:t>
      </w:r>
      <w:r>
        <w:t>：按医院要求合理安排实施计划，确保按期上线运行。</w:t>
      </w:r>
    </w:p>
    <w:p w14:paraId="239B78E3">
      <w:pPr>
        <w:ind w:firstLine="422"/>
      </w:pPr>
      <w:r>
        <w:rPr>
          <w:rStyle w:val="7"/>
          <w:rFonts w:ascii="Arial" w:hAnsi="Arial" w:cs="Arial"/>
          <w:color w:val="000000"/>
        </w:rPr>
        <w:t>交付成果</w:t>
      </w:r>
      <w:r>
        <w:t>：含系统软件、部署文档、操作手册、培训材料、验收报告等。</w:t>
      </w:r>
    </w:p>
    <w:p w14:paraId="070D1580">
      <w:pPr>
        <w:pStyle w:val="3"/>
        <w:ind w:firstLine="643"/>
      </w:pPr>
      <w:r>
        <w:t>六、现场对接</w:t>
      </w:r>
    </w:p>
    <w:p w14:paraId="496E8E93">
      <w:pPr>
        <w:rPr>
          <w:rFonts w:hint="eastAsia"/>
        </w:rPr>
      </w:pPr>
      <w:r>
        <w:rPr>
          <w:rFonts w:hint="eastAsia"/>
        </w:rPr>
        <w:t>如需了解现场情况，联系电话：</w:t>
      </w:r>
      <w:r>
        <w:rPr>
          <w:rFonts w:hint="eastAsia"/>
          <w:lang w:val="en-US" w:eastAsia="zh-CN"/>
        </w:rPr>
        <w:t>唐老师</w:t>
      </w:r>
      <w:r>
        <w:rPr>
          <w:rFonts w:hint="eastAsia" w:ascii="宋体" w:hAnsi="宋体" w:eastAsia="宋体" w:cs="宋体"/>
          <w:lang w:val="en-US" w:eastAsia="zh-CN"/>
        </w:rPr>
        <w:t xml:space="preserve"> 13222777718</w:t>
      </w:r>
      <w:r>
        <w:rPr>
          <w:rFonts w:hint="eastAsia" w:ascii="宋体" w:hAnsi="宋体" w:eastAsia="宋体" w:cs="宋体"/>
        </w:rPr>
        <w:t>。</w:t>
      </w:r>
    </w:p>
    <w:p w14:paraId="75500C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21E9B4"/>
    <w:multiLevelType w:val="singleLevel"/>
    <w:tmpl w:val="FF21E9B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  <w:sz w:val="21"/>
      </w:rPr>
    </w:lvl>
  </w:abstractNum>
  <w:abstractNum w:abstractNumId="1">
    <w:nsid w:val="3E6E6145"/>
    <w:multiLevelType w:val="singleLevel"/>
    <w:tmpl w:val="3E6E6145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  <w:sz w:val="21"/>
      </w:rPr>
    </w:lvl>
  </w:abstractNum>
  <w:abstractNum w:abstractNumId="2">
    <w:nsid w:val="6EC4B535"/>
    <w:multiLevelType w:val="singleLevel"/>
    <w:tmpl w:val="6EC4B53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00E098D"/>
    <w:rsid w:val="00177144"/>
    <w:rsid w:val="001B1E5D"/>
    <w:rsid w:val="00441D9D"/>
    <w:rsid w:val="00443938"/>
    <w:rsid w:val="0047219F"/>
    <w:rsid w:val="00495EDA"/>
    <w:rsid w:val="005A7327"/>
    <w:rsid w:val="005F0362"/>
    <w:rsid w:val="00632467"/>
    <w:rsid w:val="00664FF9"/>
    <w:rsid w:val="00706737"/>
    <w:rsid w:val="008F1DF0"/>
    <w:rsid w:val="00900877"/>
    <w:rsid w:val="00934863"/>
    <w:rsid w:val="00946192"/>
    <w:rsid w:val="00AD23D8"/>
    <w:rsid w:val="00BC02DE"/>
    <w:rsid w:val="00C55204"/>
    <w:rsid w:val="00D149C2"/>
    <w:rsid w:val="00D7586B"/>
    <w:rsid w:val="00E77752"/>
    <w:rsid w:val="00EA638B"/>
    <w:rsid w:val="00F166D9"/>
    <w:rsid w:val="00F519C9"/>
    <w:rsid w:val="00F85BD2"/>
    <w:rsid w:val="00F950A1"/>
    <w:rsid w:val="00FD2A47"/>
    <w:rsid w:val="030F4492"/>
    <w:rsid w:val="0D735465"/>
    <w:rsid w:val="125C2EFE"/>
    <w:rsid w:val="18B9619D"/>
    <w:rsid w:val="1F8D3BA5"/>
    <w:rsid w:val="20236E14"/>
    <w:rsid w:val="21C009B5"/>
    <w:rsid w:val="267F6A2F"/>
    <w:rsid w:val="2725114A"/>
    <w:rsid w:val="297D4824"/>
    <w:rsid w:val="32A72670"/>
    <w:rsid w:val="439C1036"/>
    <w:rsid w:val="466C691A"/>
    <w:rsid w:val="476242D5"/>
    <w:rsid w:val="4B9E7988"/>
    <w:rsid w:val="52BC4786"/>
    <w:rsid w:val="52D23572"/>
    <w:rsid w:val="58466FCB"/>
    <w:rsid w:val="62126170"/>
    <w:rsid w:val="65696C01"/>
    <w:rsid w:val="6A242EE4"/>
    <w:rsid w:val="749339C3"/>
    <w:rsid w:val="7D18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20" w:firstLineChars="200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ind w:left="643" w:firstLine="0" w:firstLineChars="0"/>
      <w:jc w:val="center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样式1"/>
    <w:basedOn w:val="1"/>
    <w:qFormat/>
    <w:uiPriority w:val="99"/>
    <w:rPr>
      <w:rFonts w:eastAsia="仿宋_GB2312"/>
      <w:sz w:val="32"/>
    </w:rPr>
  </w:style>
  <w:style w:type="paragraph" w:styleId="9">
    <w:name w:val="List Paragraph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1690</Words>
  <Characters>1727</Characters>
  <Lines>9</Lines>
  <Paragraphs>2</Paragraphs>
  <TotalTime>162</TotalTime>
  <ScaleCrop>false</ScaleCrop>
  <LinksUpToDate>false</LinksUpToDate>
  <CharactersWithSpaces>1729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rongrong</cp:lastModifiedBy>
  <dcterms:modified xsi:type="dcterms:W3CDTF">2026-04-16T00:22:02Z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DA69E8D27EB5471DA7B8174C61DB7D98_13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