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6596E">
      <w:pPr>
        <w:jc w:val="center"/>
        <w:rPr>
          <w:rFonts w:hint="eastAsia" w:ascii="宋体" w:hAnsi="宋体"/>
          <w:b/>
          <w:sz w:val="44"/>
          <w:szCs w:val="44"/>
          <w:lang w:val="zh-CN"/>
        </w:rPr>
      </w:pPr>
      <w:r>
        <w:rPr>
          <w:rFonts w:hint="eastAsia" w:ascii="宋体" w:hAnsi="宋体"/>
          <w:b/>
          <w:sz w:val="44"/>
          <w:szCs w:val="44"/>
          <w:lang w:val="zh-CN"/>
        </w:rPr>
        <w:t>江苏省第二中医院</w:t>
      </w:r>
      <w:r>
        <w:rPr>
          <w:rFonts w:hint="eastAsia" w:ascii="宋体" w:hAnsi="宋体"/>
          <w:b/>
          <w:sz w:val="44"/>
          <w:szCs w:val="44"/>
          <w:lang w:val="en-US" w:eastAsia="zh-CN"/>
        </w:rPr>
        <w:t>信创交换机替换</w:t>
      </w:r>
      <w:r>
        <w:rPr>
          <w:rFonts w:hint="eastAsia" w:ascii="宋体" w:hAnsi="宋体"/>
          <w:b/>
          <w:sz w:val="44"/>
          <w:szCs w:val="44"/>
          <w:lang w:val="zh-CN"/>
        </w:rPr>
        <w:t>项目</w:t>
      </w:r>
    </w:p>
    <w:p w14:paraId="4D2B95E9">
      <w:pPr>
        <w:jc w:val="center"/>
        <w:rPr>
          <w:rFonts w:ascii="宋体" w:hAnsi="宋体"/>
          <w:color w:val="000000"/>
          <w:sz w:val="44"/>
          <w:szCs w:val="44"/>
          <w:lang w:val="zh-CN"/>
        </w:rPr>
      </w:pPr>
      <w:r>
        <w:rPr>
          <w:rFonts w:hint="eastAsia" w:ascii="宋体" w:hAnsi="宋体"/>
          <w:b/>
          <w:sz w:val="44"/>
          <w:szCs w:val="44"/>
          <w:lang w:val="zh-CN"/>
        </w:rPr>
        <w:t>调研内容</w:t>
      </w:r>
    </w:p>
    <w:p w14:paraId="1848795C">
      <w:pPr>
        <w:autoSpaceDE w:val="0"/>
        <w:autoSpaceDN w:val="0"/>
        <w:adjustRightInd w:val="0"/>
        <w:jc w:val="left"/>
        <w:rPr>
          <w:rFonts w:ascii="宋体" w:hAnsi="宋体"/>
          <w:color w:val="000000"/>
          <w:sz w:val="32"/>
          <w:szCs w:val="32"/>
          <w:lang w:val="zh-CN"/>
        </w:rPr>
      </w:pPr>
    </w:p>
    <w:p w14:paraId="1F9341C0">
      <w:pPr>
        <w:autoSpaceDE w:val="0"/>
        <w:autoSpaceDN w:val="0"/>
        <w:adjustRightInd w:val="0"/>
        <w:jc w:val="left"/>
        <w:rPr>
          <w:rFonts w:ascii="宋体" w:hAnsi="宋体"/>
          <w:color w:val="000000"/>
          <w:sz w:val="32"/>
          <w:szCs w:val="32"/>
          <w:lang w:val="zh-CN"/>
        </w:rPr>
      </w:pPr>
    </w:p>
    <w:p w14:paraId="6D3C93AE">
      <w:pPr>
        <w:spacing w:line="480" w:lineRule="auto"/>
        <w:rPr>
          <w:rFonts w:ascii="宋体" w:hAnsi="宋体"/>
          <w:sz w:val="32"/>
          <w:szCs w:val="32"/>
        </w:rPr>
      </w:pPr>
    </w:p>
    <w:p w14:paraId="68751656">
      <w:pPr>
        <w:tabs>
          <w:tab w:val="left" w:pos="4500"/>
        </w:tabs>
        <w:autoSpaceDE w:val="0"/>
        <w:autoSpaceDN w:val="0"/>
        <w:adjustRightInd w:val="0"/>
        <w:jc w:val="center"/>
        <w:rPr>
          <w:rFonts w:ascii="宋体" w:hAnsi="宋体"/>
          <w:color w:val="000000"/>
          <w:sz w:val="44"/>
          <w:szCs w:val="44"/>
          <w:lang w:val="zh-CN"/>
        </w:rPr>
      </w:pPr>
    </w:p>
    <w:p w14:paraId="080F9CEB">
      <w:pPr>
        <w:tabs>
          <w:tab w:val="left" w:pos="4500"/>
        </w:tabs>
        <w:autoSpaceDE w:val="0"/>
        <w:autoSpaceDN w:val="0"/>
        <w:adjustRightInd w:val="0"/>
        <w:jc w:val="center"/>
        <w:rPr>
          <w:rFonts w:ascii="宋体" w:hAnsi="宋体"/>
          <w:color w:val="000000"/>
          <w:sz w:val="44"/>
          <w:szCs w:val="44"/>
          <w:lang w:val="zh-CN"/>
        </w:rPr>
      </w:pPr>
    </w:p>
    <w:p w14:paraId="09D4E4B0">
      <w:pPr>
        <w:tabs>
          <w:tab w:val="left" w:pos="4500"/>
        </w:tabs>
        <w:autoSpaceDE w:val="0"/>
        <w:autoSpaceDN w:val="0"/>
        <w:adjustRightInd w:val="0"/>
        <w:jc w:val="center"/>
        <w:rPr>
          <w:rFonts w:ascii="宋体" w:hAnsi="宋体"/>
          <w:color w:val="000000"/>
          <w:sz w:val="44"/>
          <w:szCs w:val="44"/>
          <w:lang w:val="zh-CN"/>
        </w:rPr>
      </w:pPr>
    </w:p>
    <w:p w14:paraId="58994DF1">
      <w:pPr>
        <w:tabs>
          <w:tab w:val="left" w:pos="4500"/>
        </w:tabs>
        <w:autoSpaceDE w:val="0"/>
        <w:autoSpaceDN w:val="0"/>
        <w:adjustRightInd w:val="0"/>
        <w:spacing w:line="480" w:lineRule="auto"/>
        <w:rPr>
          <w:rFonts w:ascii="宋体" w:hAnsi="宋体"/>
          <w:color w:val="000000"/>
          <w:sz w:val="36"/>
          <w:szCs w:val="36"/>
          <w:lang w:val="zh-CN"/>
        </w:rPr>
      </w:pPr>
    </w:p>
    <w:p w14:paraId="6B39E1B8">
      <w:pPr>
        <w:tabs>
          <w:tab w:val="left" w:pos="4500"/>
        </w:tabs>
        <w:autoSpaceDE w:val="0"/>
        <w:autoSpaceDN w:val="0"/>
        <w:adjustRightInd w:val="0"/>
        <w:spacing w:line="480" w:lineRule="auto"/>
        <w:rPr>
          <w:rFonts w:ascii="宋体" w:hAnsi="宋体"/>
          <w:color w:val="000000"/>
          <w:sz w:val="36"/>
          <w:szCs w:val="36"/>
          <w:lang w:val="zh-CN"/>
        </w:rPr>
      </w:pPr>
    </w:p>
    <w:p w14:paraId="7D06D3D4">
      <w:pPr>
        <w:tabs>
          <w:tab w:val="left" w:pos="4500"/>
        </w:tabs>
        <w:autoSpaceDE w:val="0"/>
        <w:autoSpaceDN w:val="0"/>
        <w:adjustRightInd w:val="0"/>
        <w:spacing w:line="480" w:lineRule="auto"/>
        <w:rPr>
          <w:rFonts w:ascii="宋体" w:hAnsi="宋体"/>
          <w:color w:val="000000"/>
          <w:sz w:val="36"/>
          <w:szCs w:val="36"/>
          <w:lang w:val="zh-CN"/>
        </w:rPr>
      </w:pPr>
    </w:p>
    <w:p w14:paraId="10B98670">
      <w:pPr>
        <w:tabs>
          <w:tab w:val="left" w:pos="4500"/>
        </w:tabs>
        <w:autoSpaceDE w:val="0"/>
        <w:autoSpaceDN w:val="0"/>
        <w:adjustRightInd w:val="0"/>
        <w:spacing w:line="480" w:lineRule="auto"/>
        <w:rPr>
          <w:rFonts w:ascii="宋体" w:hAnsi="宋体"/>
          <w:color w:val="000000"/>
          <w:sz w:val="36"/>
          <w:szCs w:val="36"/>
          <w:lang w:val="zh-CN"/>
        </w:rPr>
      </w:pPr>
    </w:p>
    <w:p w14:paraId="2F7310E6">
      <w:pPr>
        <w:pStyle w:val="3"/>
        <w:spacing w:before="0" w:after="0" w:line="560" w:lineRule="exact"/>
        <w:ind w:firstLine="3092" w:firstLineChars="700"/>
        <w:rPr>
          <w:rFonts w:ascii="宋体" w:hAnsi="宋体"/>
        </w:rPr>
      </w:pPr>
      <w:r>
        <w:rPr>
          <w:rFonts w:hint="eastAsia" w:ascii="宋体" w:hAnsi="宋体"/>
        </w:rPr>
        <w:t>2026年0</w:t>
      </w:r>
      <w:r>
        <w:rPr>
          <w:rFonts w:hint="eastAsia" w:ascii="宋体" w:hAnsi="宋体"/>
          <w:lang w:val="en-US" w:eastAsia="zh-CN"/>
        </w:rPr>
        <w:t>4</w:t>
      </w:r>
      <w:r>
        <w:rPr>
          <w:rFonts w:hint="eastAsia" w:ascii="宋体" w:hAnsi="宋体"/>
        </w:rPr>
        <w:t>月</w:t>
      </w:r>
    </w:p>
    <w:p w14:paraId="3D9DEE6F">
      <w:pPr>
        <w:rPr>
          <w:rFonts w:hint="eastAsia" w:ascii="宋体" w:hAnsi="宋体" w:cs="仿宋_GB2312"/>
          <w:b/>
          <w:bCs/>
          <w:color w:val="000000"/>
          <w:sz w:val="28"/>
          <w:szCs w:val="28"/>
        </w:rPr>
      </w:pPr>
      <w:bookmarkStart w:id="0" w:name="_Toc465785687"/>
      <w:r>
        <w:rPr>
          <w:rFonts w:hint="eastAsia" w:ascii="宋体" w:hAnsi="宋体" w:cs="仿宋_GB2312"/>
          <w:b/>
          <w:bCs/>
          <w:color w:val="000000"/>
          <w:sz w:val="28"/>
          <w:szCs w:val="28"/>
        </w:rPr>
        <w:br w:type="page"/>
      </w:r>
    </w:p>
    <w:p w14:paraId="45832C6F">
      <w:pPr>
        <w:spacing w:line="560" w:lineRule="exact"/>
        <w:rPr>
          <w:rFonts w:ascii="宋体" w:hAnsi="宋体" w:cs="仿宋_GB2312"/>
          <w:b/>
          <w:bCs/>
          <w:color w:val="000000"/>
          <w:sz w:val="28"/>
          <w:szCs w:val="28"/>
        </w:rPr>
      </w:pPr>
      <w:r>
        <w:rPr>
          <w:rFonts w:hint="eastAsia" w:ascii="宋体" w:hAnsi="宋体" w:cs="仿宋_GB2312"/>
          <w:b/>
          <w:bCs/>
          <w:color w:val="000000"/>
          <w:sz w:val="28"/>
          <w:szCs w:val="28"/>
        </w:rPr>
        <w:t>一、产品清单</w:t>
      </w:r>
    </w:p>
    <w:tbl>
      <w:tblPr>
        <w:tblStyle w:val="6"/>
        <w:tblW w:w="4906"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844"/>
        <w:gridCol w:w="5067"/>
        <w:gridCol w:w="627"/>
        <w:gridCol w:w="628"/>
      </w:tblGrid>
      <w:tr w14:paraId="6D0E0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32" w:hRule="atLeast"/>
          <w:jc w:val="center"/>
        </w:trPr>
        <w:tc>
          <w:tcPr>
            <w:tcW w:w="1129" w:type="pct"/>
            <w:tcBorders>
              <w:top w:val="single" w:color="000000" w:sz="2" w:space="0"/>
              <w:bottom w:val="single" w:color="000000" w:sz="2" w:space="0"/>
            </w:tcBorders>
            <w:noWrap w:val="0"/>
            <w:vAlign w:val="center"/>
          </w:tcPr>
          <w:p w14:paraId="339C7226">
            <w:pPr>
              <w:adjustRightInd w:val="0"/>
              <w:snapToGrid w:val="0"/>
              <w:spacing w:line="264" w:lineRule="auto"/>
              <w:jc w:val="center"/>
              <w:rPr>
                <w:rFonts w:ascii="宋体" w:hAnsi="宋体" w:cs="宋体"/>
                <w:b/>
                <w:sz w:val="24"/>
              </w:rPr>
            </w:pPr>
            <w:r>
              <w:rPr>
                <w:rFonts w:hint="eastAsia" w:ascii="宋体" w:hAnsi="宋体" w:cs="宋体"/>
                <w:b/>
                <w:sz w:val="24"/>
              </w:rPr>
              <w:t>序号</w:t>
            </w:r>
          </w:p>
        </w:tc>
        <w:tc>
          <w:tcPr>
            <w:tcW w:w="3102" w:type="pct"/>
            <w:tcBorders>
              <w:top w:val="single" w:color="000000" w:sz="2" w:space="0"/>
              <w:bottom w:val="single" w:color="000000" w:sz="2" w:space="0"/>
            </w:tcBorders>
            <w:noWrap w:val="0"/>
            <w:vAlign w:val="center"/>
          </w:tcPr>
          <w:p w14:paraId="78E95CC9">
            <w:pPr>
              <w:adjustRightInd w:val="0"/>
              <w:snapToGrid w:val="0"/>
              <w:spacing w:line="264" w:lineRule="auto"/>
              <w:jc w:val="center"/>
              <w:rPr>
                <w:rFonts w:ascii="宋体" w:hAnsi="宋体" w:cs="宋体"/>
                <w:b/>
                <w:sz w:val="24"/>
              </w:rPr>
            </w:pPr>
            <w:r>
              <w:rPr>
                <w:rFonts w:hint="eastAsia" w:ascii="宋体" w:hAnsi="宋体" w:cs="宋体"/>
                <w:b/>
                <w:sz w:val="24"/>
              </w:rPr>
              <w:t>分项名称</w:t>
            </w:r>
          </w:p>
        </w:tc>
        <w:tc>
          <w:tcPr>
            <w:tcW w:w="384" w:type="pct"/>
            <w:tcBorders>
              <w:top w:val="single" w:color="000000" w:sz="2" w:space="0"/>
              <w:bottom w:val="single" w:color="000000" w:sz="2" w:space="0"/>
            </w:tcBorders>
            <w:noWrap w:val="0"/>
            <w:vAlign w:val="center"/>
          </w:tcPr>
          <w:p w14:paraId="187DB44B">
            <w:pPr>
              <w:adjustRightInd w:val="0"/>
              <w:snapToGrid w:val="0"/>
              <w:spacing w:line="264" w:lineRule="auto"/>
              <w:jc w:val="center"/>
              <w:rPr>
                <w:rFonts w:ascii="宋体" w:hAnsi="宋体" w:cs="宋体"/>
                <w:b/>
                <w:sz w:val="24"/>
              </w:rPr>
            </w:pPr>
            <w:r>
              <w:rPr>
                <w:rFonts w:hint="eastAsia" w:ascii="宋体" w:hAnsi="宋体" w:cs="宋体"/>
                <w:b/>
                <w:sz w:val="24"/>
              </w:rPr>
              <w:t>数量</w:t>
            </w:r>
          </w:p>
        </w:tc>
        <w:tc>
          <w:tcPr>
            <w:tcW w:w="384" w:type="pct"/>
            <w:tcBorders>
              <w:top w:val="single" w:color="000000" w:sz="2" w:space="0"/>
              <w:bottom w:val="single" w:color="000000" w:sz="2" w:space="0"/>
            </w:tcBorders>
            <w:noWrap w:val="0"/>
            <w:vAlign w:val="center"/>
          </w:tcPr>
          <w:p w14:paraId="0B8FBC68">
            <w:pPr>
              <w:adjustRightInd w:val="0"/>
              <w:snapToGrid w:val="0"/>
              <w:spacing w:line="264" w:lineRule="auto"/>
              <w:jc w:val="center"/>
              <w:rPr>
                <w:rFonts w:ascii="宋体" w:hAnsi="宋体" w:cs="宋体"/>
                <w:b/>
                <w:sz w:val="24"/>
              </w:rPr>
            </w:pPr>
            <w:r>
              <w:rPr>
                <w:rFonts w:hint="eastAsia" w:ascii="宋体" w:hAnsi="宋体" w:cs="宋体"/>
                <w:b/>
                <w:sz w:val="24"/>
              </w:rPr>
              <w:t>单位</w:t>
            </w:r>
          </w:p>
        </w:tc>
      </w:tr>
      <w:tr w14:paraId="0F11A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jc w:val="center"/>
        </w:trPr>
        <w:tc>
          <w:tcPr>
            <w:tcW w:w="1129" w:type="pct"/>
            <w:tcBorders>
              <w:top w:val="single" w:color="000000" w:sz="2" w:space="0"/>
              <w:bottom w:val="single" w:color="000000" w:sz="2" w:space="0"/>
            </w:tcBorders>
            <w:noWrap w:val="0"/>
            <w:vAlign w:val="center"/>
          </w:tcPr>
          <w:p w14:paraId="214B13E2">
            <w:pPr>
              <w:adjustRightInd w:val="0"/>
              <w:snapToGrid w:val="0"/>
              <w:spacing w:line="288" w:lineRule="auto"/>
              <w:jc w:val="center"/>
              <w:rPr>
                <w:bCs/>
                <w:sz w:val="24"/>
              </w:rPr>
            </w:pPr>
            <w:r>
              <w:rPr>
                <w:rFonts w:hint="eastAsia"/>
                <w:bCs/>
                <w:sz w:val="24"/>
              </w:rPr>
              <w:t>1</w:t>
            </w:r>
          </w:p>
        </w:tc>
        <w:tc>
          <w:tcPr>
            <w:tcW w:w="3102" w:type="pct"/>
            <w:tcBorders>
              <w:top w:val="single" w:color="000000" w:sz="2" w:space="0"/>
              <w:bottom w:val="single" w:color="000000" w:sz="2" w:space="0"/>
            </w:tcBorders>
            <w:noWrap w:val="0"/>
            <w:vAlign w:val="center"/>
          </w:tcPr>
          <w:p w14:paraId="34ECAC52">
            <w:pPr>
              <w:adjustRightInd w:val="0"/>
              <w:snapToGrid w:val="0"/>
              <w:spacing w:line="288" w:lineRule="auto"/>
              <w:rPr>
                <w:bCs/>
                <w:sz w:val="24"/>
              </w:rPr>
            </w:pPr>
            <w:r>
              <w:rPr>
                <w:rFonts w:hint="eastAsia"/>
                <w:bCs/>
                <w:sz w:val="24"/>
              </w:rPr>
              <w:t>国产</w:t>
            </w:r>
            <w:r>
              <w:rPr>
                <w:rFonts w:hint="eastAsia"/>
                <w:bCs/>
                <w:sz w:val="24"/>
                <w:lang w:val="en-US" w:eastAsia="zh-CN"/>
              </w:rPr>
              <w:t>信创</w:t>
            </w:r>
            <w:r>
              <w:rPr>
                <w:rFonts w:hint="eastAsia"/>
                <w:bCs/>
                <w:sz w:val="24"/>
              </w:rPr>
              <w:t>交换机</w:t>
            </w:r>
          </w:p>
        </w:tc>
        <w:tc>
          <w:tcPr>
            <w:tcW w:w="384" w:type="pct"/>
            <w:tcBorders>
              <w:top w:val="single" w:color="000000" w:sz="2" w:space="0"/>
              <w:bottom w:val="single" w:color="000000" w:sz="2" w:space="0"/>
            </w:tcBorders>
            <w:noWrap w:val="0"/>
            <w:vAlign w:val="center"/>
          </w:tcPr>
          <w:p w14:paraId="318A8C59">
            <w:pPr>
              <w:adjustRightInd w:val="0"/>
              <w:snapToGrid w:val="0"/>
              <w:spacing w:line="288" w:lineRule="auto"/>
              <w:jc w:val="center"/>
              <w:rPr>
                <w:rFonts w:hint="eastAsia" w:eastAsia="宋体"/>
                <w:bCs/>
                <w:sz w:val="24"/>
                <w:lang w:val="en-US" w:eastAsia="zh-CN"/>
              </w:rPr>
            </w:pPr>
            <w:r>
              <w:rPr>
                <w:rFonts w:hint="eastAsia"/>
                <w:bCs/>
                <w:sz w:val="24"/>
              </w:rPr>
              <w:t>1</w:t>
            </w:r>
            <w:r>
              <w:rPr>
                <w:rFonts w:hint="eastAsia"/>
                <w:bCs/>
                <w:sz w:val="24"/>
                <w:lang w:val="en-US" w:eastAsia="zh-CN"/>
              </w:rPr>
              <w:t>2</w:t>
            </w:r>
          </w:p>
        </w:tc>
        <w:tc>
          <w:tcPr>
            <w:tcW w:w="384" w:type="pct"/>
            <w:tcBorders>
              <w:top w:val="single" w:color="000000" w:sz="2" w:space="0"/>
              <w:bottom w:val="single" w:color="000000" w:sz="2" w:space="0"/>
            </w:tcBorders>
            <w:noWrap w:val="0"/>
            <w:vAlign w:val="center"/>
          </w:tcPr>
          <w:p w14:paraId="70A11C14">
            <w:pPr>
              <w:adjustRightInd w:val="0"/>
              <w:snapToGrid w:val="0"/>
              <w:spacing w:line="288" w:lineRule="auto"/>
              <w:jc w:val="center"/>
              <w:rPr>
                <w:bCs/>
                <w:sz w:val="24"/>
              </w:rPr>
            </w:pPr>
            <w:r>
              <w:rPr>
                <w:rFonts w:hint="eastAsia"/>
                <w:bCs/>
                <w:sz w:val="24"/>
              </w:rPr>
              <w:t>套</w:t>
            </w:r>
          </w:p>
        </w:tc>
      </w:tr>
    </w:tbl>
    <w:p w14:paraId="30A282BE">
      <w:pPr>
        <w:rPr>
          <w:rFonts w:hint="eastAsia" w:ascii="宋体" w:hAnsi="宋体" w:eastAsia="宋体" w:cs="宋体"/>
          <w:b/>
          <w:sz w:val="24"/>
          <w:lang w:eastAsia="zh-CN"/>
        </w:rPr>
      </w:pPr>
      <w:r>
        <w:rPr>
          <w:rFonts w:hint="eastAsia" w:ascii="宋体" w:hAnsi="宋体"/>
          <w:b/>
          <w:bCs/>
          <w:sz w:val="24"/>
        </w:rPr>
        <w:t>二、</w:t>
      </w:r>
      <w:r>
        <w:rPr>
          <w:rFonts w:hint="eastAsia" w:ascii="宋体" w:hAnsi="宋体" w:cs="宋体"/>
          <w:b/>
          <w:sz w:val="24"/>
        </w:rPr>
        <w:t>技术要求</w:t>
      </w:r>
    </w:p>
    <w:tbl>
      <w:tblPr>
        <w:tblStyle w:val="6"/>
        <w:tblW w:w="4990" w:type="pct"/>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24"/>
        <w:gridCol w:w="1748"/>
        <w:gridCol w:w="6033"/>
      </w:tblGrid>
      <w:tr w14:paraId="630FF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noWrap w:val="0"/>
            <w:vAlign w:val="top"/>
          </w:tcPr>
          <w:p w14:paraId="24AEAFD5">
            <w:pPr>
              <w:spacing w:line="360" w:lineRule="auto"/>
              <w:jc w:val="center"/>
              <w:rPr>
                <w:rFonts w:ascii="宋体" w:hAnsi="宋体"/>
                <w:color w:val="000000"/>
                <w:szCs w:val="21"/>
              </w:rPr>
            </w:pPr>
            <w:r>
              <w:rPr>
                <w:rFonts w:hint="eastAsia" w:ascii="宋体" w:hAnsi="宋体"/>
                <w:color w:val="000000"/>
                <w:szCs w:val="21"/>
              </w:rPr>
              <w:t>序号</w:t>
            </w:r>
          </w:p>
        </w:tc>
        <w:tc>
          <w:tcPr>
            <w:tcW w:w="1748" w:type="dxa"/>
            <w:noWrap w:val="0"/>
            <w:vAlign w:val="top"/>
          </w:tcPr>
          <w:p w14:paraId="75B16384">
            <w:pPr>
              <w:spacing w:line="360" w:lineRule="auto"/>
              <w:jc w:val="center"/>
              <w:rPr>
                <w:rFonts w:ascii="宋体" w:hAnsi="宋体"/>
                <w:color w:val="000000"/>
                <w:szCs w:val="21"/>
              </w:rPr>
            </w:pPr>
            <w:r>
              <w:rPr>
                <w:rFonts w:hint="eastAsia" w:ascii="宋体" w:hAnsi="宋体"/>
                <w:color w:val="000000"/>
                <w:szCs w:val="21"/>
              </w:rPr>
              <w:t>名称</w:t>
            </w:r>
          </w:p>
        </w:tc>
        <w:tc>
          <w:tcPr>
            <w:tcW w:w="6033" w:type="dxa"/>
            <w:noWrap w:val="0"/>
            <w:vAlign w:val="top"/>
          </w:tcPr>
          <w:p w14:paraId="449A2093">
            <w:pPr>
              <w:spacing w:line="360" w:lineRule="auto"/>
              <w:jc w:val="center"/>
              <w:rPr>
                <w:rFonts w:ascii="宋体" w:hAnsi="宋体"/>
                <w:color w:val="000000"/>
                <w:szCs w:val="21"/>
              </w:rPr>
            </w:pPr>
            <w:r>
              <w:rPr>
                <w:rFonts w:hint="eastAsia" w:ascii="宋体" w:hAnsi="宋体"/>
                <w:color w:val="000000"/>
                <w:szCs w:val="21"/>
              </w:rPr>
              <w:t>功能、性能、配置要求</w:t>
            </w:r>
          </w:p>
        </w:tc>
      </w:tr>
      <w:tr w14:paraId="4F312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noWrap w:val="0"/>
            <w:vAlign w:val="center"/>
          </w:tcPr>
          <w:p w14:paraId="5FF5D6FE">
            <w:pPr>
              <w:spacing w:line="360" w:lineRule="auto"/>
              <w:jc w:val="center"/>
              <w:rPr>
                <w:rFonts w:ascii="宋体" w:hAnsi="宋体"/>
                <w:color w:val="000000"/>
                <w:szCs w:val="21"/>
              </w:rPr>
            </w:pPr>
            <w:r>
              <w:rPr>
                <w:rFonts w:hint="eastAsia" w:ascii="宋体" w:hAnsi="宋体"/>
                <w:color w:val="000000"/>
                <w:szCs w:val="21"/>
              </w:rPr>
              <w:t>1</w:t>
            </w:r>
          </w:p>
        </w:tc>
        <w:tc>
          <w:tcPr>
            <w:tcW w:w="1748" w:type="dxa"/>
            <w:noWrap w:val="0"/>
            <w:vAlign w:val="center"/>
          </w:tcPr>
          <w:p w14:paraId="0BB44B2C">
            <w:pPr>
              <w:spacing w:line="360" w:lineRule="auto"/>
              <w:jc w:val="center"/>
              <w:rPr>
                <w:rFonts w:ascii="宋体" w:hAnsi="宋体"/>
                <w:color w:val="000000"/>
                <w:szCs w:val="21"/>
              </w:rPr>
            </w:pPr>
            <w:r>
              <w:rPr>
                <w:rFonts w:hint="eastAsia" w:ascii="宋体" w:hAnsi="宋体"/>
                <w:color w:val="000000"/>
                <w:szCs w:val="21"/>
              </w:rPr>
              <w:t>实质性要求</w:t>
            </w:r>
          </w:p>
        </w:tc>
        <w:tc>
          <w:tcPr>
            <w:tcW w:w="6033" w:type="dxa"/>
            <w:noWrap w:val="0"/>
            <w:vAlign w:val="bottom"/>
          </w:tcPr>
          <w:p w14:paraId="7E186D62">
            <w:pPr>
              <w:spacing w:line="360" w:lineRule="auto"/>
              <w:jc w:val="left"/>
              <w:rPr>
                <w:rFonts w:hint="eastAsia" w:ascii="宋体" w:hAnsi="宋体"/>
                <w:color w:val="000000"/>
                <w:szCs w:val="21"/>
              </w:rPr>
            </w:pPr>
            <w:r>
              <w:rPr>
                <w:rFonts w:hint="eastAsia" w:ascii="宋体" w:hAnsi="宋体"/>
                <w:color w:val="000000"/>
                <w:szCs w:val="21"/>
              </w:rPr>
              <w:t>1、交换容量≥670Gbps、包转发率≥200Mpps（提供官网截图证明，</w:t>
            </w:r>
          </w:p>
          <w:p w14:paraId="088894D4">
            <w:pPr>
              <w:spacing w:line="360" w:lineRule="auto"/>
              <w:jc w:val="left"/>
              <w:rPr>
                <w:rFonts w:hint="eastAsia" w:ascii="宋体" w:hAnsi="宋体"/>
                <w:color w:val="000000"/>
                <w:szCs w:val="21"/>
              </w:rPr>
            </w:pPr>
            <w:r>
              <w:rPr>
                <w:rFonts w:hint="eastAsia" w:ascii="宋体" w:hAnsi="宋体"/>
                <w:color w:val="000000"/>
                <w:szCs w:val="21"/>
              </w:rPr>
              <w:t>以官网最小值为准）；</w:t>
            </w:r>
          </w:p>
          <w:p w14:paraId="51706389">
            <w:pPr>
              <w:spacing w:line="360" w:lineRule="auto"/>
              <w:jc w:val="left"/>
              <w:rPr>
                <w:rFonts w:ascii="宋体" w:hAnsi="宋体"/>
                <w:color w:val="000000"/>
                <w:szCs w:val="21"/>
              </w:rPr>
            </w:pPr>
            <w:r>
              <w:rPr>
                <w:rFonts w:hint="eastAsia" w:ascii="宋体" w:hAnsi="宋体"/>
                <w:color w:val="000000"/>
                <w:szCs w:val="21"/>
              </w:rPr>
              <w:t>2、实配 48 个 10/100/1000Base-T 以太网端口，6 个万兆 SFP 光口；</w:t>
            </w:r>
          </w:p>
        </w:tc>
      </w:tr>
      <w:tr w14:paraId="30062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noWrap w:val="0"/>
            <w:vAlign w:val="center"/>
          </w:tcPr>
          <w:p w14:paraId="072DB9F6">
            <w:pPr>
              <w:spacing w:line="360" w:lineRule="auto"/>
              <w:jc w:val="center"/>
              <w:rPr>
                <w:rFonts w:ascii="宋体" w:hAnsi="宋体"/>
                <w:color w:val="000000"/>
                <w:szCs w:val="21"/>
              </w:rPr>
            </w:pPr>
            <w:r>
              <w:rPr>
                <w:rFonts w:hint="eastAsia" w:ascii="宋体" w:hAnsi="宋体"/>
                <w:color w:val="000000"/>
                <w:szCs w:val="21"/>
              </w:rPr>
              <w:t>2</w:t>
            </w:r>
          </w:p>
        </w:tc>
        <w:tc>
          <w:tcPr>
            <w:tcW w:w="1748" w:type="dxa"/>
            <w:noWrap w:val="0"/>
            <w:vAlign w:val="center"/>
          </w:tcPr>
          <w:p w14:paraId="19097BB2">
            <w:pPr>
              <w:spacing w:line="360" w:lineRule="auto"/>
              <w:jc w:val="center"/>
              <w:rPr>
                <w:rFonts w:ascii="宋体" w:hAnsi="宋体"/>
                <w:color w:val="000000"/>
                <w:szCs w:val="21"/>
              </w:rPr>
            </w:pPr>
            <w:r>
              <w:rPr>
                <w:rFonts w:hint="eastAsia" w:ascii="宋体" w:hAnsi="宋体"/>
                <w:color w:val="000000"/>
                <w:szCs w:val="21"/>
              </w:rPr>
              <w:t>非实质性要求</w:t>
            </w:r>
          </w:p>
        </w:tc>
        <w:tc>
          <w:tcPr>
            <w:tcW w:w="6033" w:type="dxa"/>
            <w:noWrap w:val="0"/>
            <w:vAlign w:val="bottom"/>
          </w:tcPr>
          <w:p w14:paraId="0C58DE7A">
            <w:pPr>
              <w:spacing w:line="360" w:lineRule="auto"/>
              <w:jc w:val="left"/>
              <w:rPr>
                <w:rFonts w:hint="eastAsia" w:ascii="宋体" w:hAnsi="宋体"/>
                <w:color w:val="000000"/>
                <w:szCs w:val="21"/>
              </w:rPr>
            </w:pPr>
            <w:r>
              <w:rPr>
                <w:rFonts w:hint="eastAsia" w:ascii="宋体" w:hAnsi="宋体"/>
                <w:color w:val="000000"/>
                <w:szCs w:val="21"/>
              </w:rPr>
              <w:t>▲1、支持 N:M 端口镜像，提供官网截图和链接；</w:t>
            </w:r>
          </w:p>
          <w:p w14:paraId="59E107C5">
            <w:pPr>
              <w:spacing w:line="360" w:lineRule="auto"/>
              <w:jc w:val="left"/>
              <w:rPr>
                <w:rFonts w:hint="eastAsia" w:ascii="宋体" w:hAnsi="宋体"/>
                <w:color w:val="000000"/>
                <w:szCs w:val="21"/>
              </w:rPr>
            </w:pPr>
            <w:r>
              <w:rPr>
                <w:rFonts w:hint="eastAsia" w:ascii="宋体" w:hAnsi="宋体"/>
                <w:color w:val="000000"/>
                <w:szCs w:val="21"/>
              </w:rPr>
              <w:t>2、支持静态路由、RIP、RIPng、OSPF 等协议；</w:t>
            </w:r>
          </w:p>
          <w:p w14:paraId="1AFF35F5">
            <w:pPr>
              <w:spacing w:line="360" w:lineRule="auto"/>
              <w:jc w:val="left"/>
              <w:rPr>
                <w:rFonts w:hint="eastAsia" w:ascii="宋体" w:hAnsi="宋体"/>
                <w:color w:val="000000"/>
                <w:szCs w:val="21"/>
              </w:rPr>
            </w:pPr>
            <w:r>
              <w:rPr>
                <w:rFonts w:hint="eastAsia" w:ascii="宋体" w:hAnsi="宋体"/>
                <w:color w:val="000000"/>
                <w:szCs w:val="21"/>
              </w:rPr>
              <w:t>▲3、国产自主设备，采用国产自主 CPU 和交换芯片，提供第三方权威机构出具的检测报告；</w:t>
            </w:r>
          </w:p>
          <w:p w14:paraId="50DA7F18">
            <w:pPr>
              <w:spacing w:line="360" w:lineRule="auto"/>
              <w:jc w:val="left"/>
              <w:rPr>
                <w:rFonts w:hint="eastAsia" w:ascii="宋体" w:hAnsi="宋体"/>
                <w:color w:val="000000"/>
                <w:szCs w:val="21"/>
              </w:rPr>
            </w:pPr>
            <w:r>
              <w:rPr>
                <w:rFonts w:hint="eastAsia" w:ascii="宋体" w:hAnsi="宋体"/>
                <w:color w:val="000000"/>
                <w:szCs w:val="21"/>
              </w:rPr>
              <w:t>4、支持集群或堆叠多虚一技术，实现单一界面管理多台设备；</w:t>
            </w:r>
          </w:p>
          <w:p w14:paraId="4CA411E9">
            <w:pPr>
              <w:spacing w:line="360" w:lineRule="auto"/>
              <w:jc w:val="left"/>
              <w:rPr>
                <w:rFonts w:hint="eastAsia" w:ascii="宋体" w:hAnsi="宋体"/>
                <w:color w:val="000000"/>
                <w:szCs w:val="21"/>
              </w:rPr>
            </w:pPr>
            <w:r>
              <w:rPr>
                <w:rFonts w:hint="eastAsia" w:ascii="宋体" w:hAnsi="宋体"/>
                <w:color w:val="000000"/>
                <w:szCs w:val="21"/>
              </w:rPr>
              <w:t>5、支持 IGMPSnooping、MLDSnooping 组播协议；</w:t>
            </w:r>
          </w:p>
          <w:p w14:paraId="602CC8C9">
            <w:pPr>
              <w:spacing w:line="360" w:lineRule="auto"/>
              <w:jc w:val="left"/>
              <w:rPr>
                <w:rFonts w:hint="eastAsia" w:ascii="宋体" w:hAnsi="宋体"/>
                <w:color w:val="000000"/>
                <w:szCs w:val="21"/>
              </w:rPr>
            </w:pPr>
            <w:r>
              <w:rPr>
                <w:rFonts w:hint="eastAsia" w:ascii="宋体" w:hAnsi="宋体"/>
                <w:color w:val="000000"/>
                <w:szCs w:val="21"/>
              </w:rPr>
              <w:t>▲6、支持 Telemetry 可视化管理，提供官网截图和链接；</w:t>
            </w:r>
          </w:p>
          <w:p w14:paraId="7BDE9976">
            <w:pPr>
              <w:spacing w:line="360" w:lineRule="auto"/>
              <w:jc w:val="left"/>
              <w:rPr>
                <w:rFonts w:hint="eastAsia" w:ascii="宋体" w:hAnsi="宋体"/>
                <w:color w:val="000000"/>
                <w:szCs w:val="21"/>
              </w:rPr>
            </w:pPr>
            <w:r>
              <w:rPr>
                <w:rFonts w:hint="eastAsia" w:ascii="宋体" w:hAnsi="宋体"/>
                <w:color w:val="000000"/>
                <w:szCs w:val="21"/>
              </w:rPr>
              <w:t>7、端口平均时延小于 2us，提供具有 CNAS 标志的权威测试报告证明；</w:t>
            </w:r>
            <w:bookmarkStart w:id="1" w:name="_GoBack"/>
            <w:bookmarkEnd w:id="1"/>
          </w:p>
          <w:p w14:paraId="071F9F0D">
            <w:pPr>
              <w:spacing w:line="360" w:lineRule="auto"/>
              <w:jc w:val="left"/>
              <w:rPr>
                <w:rFonts w:ascii="宋体" w:hAnsi="宋体"/>
                <w:color w:val="000000"/>
                <w:szCs w:val="21"/>
              </w:rPr>
            </w:pPr>
            <w:r>
              <w:rPr>
                <w:rFonts w:hint="eastAsia" w:ascii="宋体" w:hAnsi="宋体"/>
                <w:color w:val="000000"/>
                <w:szCs w:val="21"/>
              </w:rPr>
              <w:t>▲8、支持 DDOS 防攻击，ARP 防攻击，DAI 防攻击，提供官网截图和链接；</w:t>
            </w:r>
          </w:p>
        </w:tc>
      </w:tr>
      <w:tr w14:paraId="26588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24" w:type="dxa"/>
            <w:noWrap w:val="0"/>
            <w:vAlign w:val="center"/>
          </w:tcPr>
          <w:p w14:paraId="0F9B6673">
            <w:pPr>
              <w:spacing w:line="360" w:lineRule="auto"/>
              <w:jc w:val="center"/>
              <w:rPr>
                <w:rFonts w:hint="eastAsia" w:ascii="宋体" w:hAnsi="宋体" w:eastAsia="宋体"/>
                <w:color w:val="000000"/>
                <w:szCs w:val="21"/>
                <w:lang w:val="en-US" w:eastAsia="zh-CN"/>
              </w:rPr>
            </w:pPr>
            <w:r>
              <w:rPr>
                <w:rFonts w:hint="eastAsia" w:ascii="宋体" w:hAnsi="宋体"/>
                <w:color w:val="000000"/>
                <w:szCs w:val="21"/>
                <w:lang w:val="en-US" w:eastAsia="zh-CN"/>
              </w:rPr>
              <w:t>3</w:t>
            </w:r>
          </w:p>
        </w:tc>
        <w:tc>
          <w:tcPr>
            <w:tcW w:w="1748" w:type="dxa"/>
            <w:noWrap w:val="0"/>
            <w:vAlign w:val="center"/>
          </w:tcPr>
          <w:p w14:paraId="0001130F">
            <w:pPr>
              <w:spacing w:line="360" w:lineRule="auto"/>
              <w:jc w:val="center"/>
              <w:rPr>
                <w:rFonts w:hint="default" w:ascii="宋体" w:hAnsi="宋体" w:eastAsia="宋体"/>
                <w:color w:val="000000"/>
                <w:szCs w:val="21"/>
                <w:lang w:val="en-US" w:eastAsia="zh-CN"/>
              </w:rPr>
            </w:pPr>
            <w:r>
              <w:rPr>
                <w:rFonts w:hint="eastAsia" w:ascii="宋体" w:hAnsi="宋体"/>
                <w:color w:val="000000"/>
                <w:szCs w:val="21"/>
                <w:lang w:val="en-US" w:eastAsia="zh-CN"/>
              </w:rPr>
              <w:t>服务要求</w:t>
            </w:r>
          </w:p>
        </w:tc>
        <w:tc>
          <w:tcPr>
            <w:tcW w:w="6033" w:type="dxa"/>
            <w:noWrap w:val="0"/>
            <w:vAlign w:val="bottom"/>
          </w:tcPr>
          <w:p w14:paraId="204CA15E">
            <w:pPr>
              <w:spacing w:line="360" w:lineRule="auto"/>
              <w:rPr>
                <w:rFonts w:ascii="宋体" w:hAnsi="宋体"/>
                <w:color w:val="000000"/>
                <w:szCs w:val="21"/>
              </w:rPr>
            </w:pPr>
            <w:r>
              <w:rPr>
                <w:rFonts w:hint="eastAsia" w:ascii="宋体" w:hAnsi="宋体"/>
                <w:color w:val="000000"/>
                <w:szCs w:val="21"/>
              </w:rPr>
              <w:t>不低于以下要求：</w:t>
            </w:r>
          </w:p>
          <w:p w14:paraId="14D38630">
            <w:pPr>
              <w:spacing w:line="360" w:lineRule="auto"/>
              <w:jc w:val="left"/>
              <w:rPr>
                <w:rFonts w:hint="eastAsia" w:ascii="宋体" w:hAnsi="宋体"/>
                <w:color w:val="000000"/>
                <w:szCs w:val="21"/>
              </w:rPr>
            </w:pPr>
            <w:r>
              <w:rPr>
                <w:rFonts w:hint="eastAsia" w:ascii="宋体" w:hAnsi="宋体"/>
                <w:color w:val="000000"/>
                <w:szCs w:val="21"/>
              </w:rPr>
              <w:t>2.1三年原厂7*24小时维保服务，签订合同前提供原厂售后服务承诺函盖公章原件和授权书盖公章原件；设备生产商需在国内设有技术热线电话。</w:t>
            </w:r>
          </w:p>
        </w:tc>
      </w:tr>
    </w:tbl>
    <w:p w14:paraId="0F935A7F">
      <w:pPr>
        <w:rPr>
          <w:rFonts w:ascii="宋体" w:hAnsi="宋体" w:cs="宋体"/>
          <w:b/>
          <w:sz w:val="24"/>
        </w:rPr>
      </w:pPr>
    </w:p>
    <w:p w14:paraId="5E10AFCF">
      <w:pPr>
        <w:spacing w:line="360" w:lineRule="auto"/>
        <w:rPr>
          <w:rFonts w:ascii="宋体" w:hAnsi="宋体"/>
          <w:b/>
          <w:bCs/>
          <w:color w:val="000000"/>
          <w:sz w:val="28"/>
          <w:szCs w:val="28"/>
        </w:rPr>
      </w:pPr>
      <w:r>
        <w:rPr>
          <w:rFonts w:hint="eastAsia" w:ascii="宋体" w:hAnsi="宋体"/>
          <w:b/>
          <w:bCs/>
          <w:color w:val="000000"/>
          <w:sz w:val="28"/>
          <w:szCs w:val="28"/>
        </w:rPr>
        <w:t>三、商务要求：</w:t>
      </w:r>
    </w:p>
    <w:p w14:paraId="14758784">
      <w:pPr>
        <w:spacing w:line="360" w:lineRule="auto"/>
        <w:ind w:firstLine="480"/>
        <w:rPr>
          <w:rFonts w:ascii="宋体" w:hAnsi="宋体" w:cs="宋体"/>
          <w:color w:val="000000"/>
          <w:sz w:val="28"/>
          <w:szCs w:val="28"/>
        </w:rPr>
      </w:pPr>
      <w:r>
        <w:rPr>
          <w:rFonts w:hint="eastAsia" w:ascii="宋体" w:hAnsi="宋体" w:cs="宋体"/>
          <w:color w:val="000000"/>
          <w:sz w:val="28"/>
          <w:szCs w:val="28"/>
        </w:rPr>
        <w:t>1、</w:t>
      </w:r>
      <w:r>
        <w:rPr>
          <w:rFonts w:ascii="宋体" w:hAnsi="宋体" w:cs="宋体"/>
          <w:color w:val="000000"/>
          <w:sz w:val="28"/>
          <w:szCs w:val="28"/>
        </w:rPr>
        <w:t>本项目为医院核心业务系统基础设施扩容，整个扩容过程须确保</w:t>
      </w:r>
      <w:r>
        <w:rPr>
          <w:rFonts w:hint="eastAsia" w:ascii="宋体" w:hAnsi="宋体" w:cs="宋体"/>
          <w:color w:val="000000"/>
          <w:sz w:val="28"/>
          <w:szCs w:val="28"/>
          <w:lang w:val="en-US" w:eastAsia="zh-CN"/>
        </w:rPr>
        <w:t>业务</w:t>
      </w:r>
      <w:r>
        <w:rPr>
          <w:rFonts w:ascii="宋体" w:hAnsi="宋体" w:cs="宋体"/>
          <w:color w:val="000000"/>
          <w:sz w:val="28"/>
          <w:szCs w:val="28"/>
        </w:rPr>
        <w:t>系统7×24小时不停机、业务零中断，供应商须书面承诺如因自身原因导致业务中断承担违约金。供应商投标时必须提供存储设备制造厂商出具的原厂项目授权书及原厂售后服务承诺函，质保函须明确3年原厂质保，并承诺本地备件库储备关键部件，医院有权通过厂商官方客服热线验证设备归属及服务承诺，如查询结果与投标文件不一致有权废除合同。所有设备须为原厂包装且序列号可在官网查询，供货后原厂须每季度提供一次现场健康巡检。投标文件须包含营业执照、资质证书、原厂授权书、售后服务承诺函、同类项目业绩证明、团队资质证书、分项报价明细、不停机扩容承诺书等材料，其中原厂授权完备性、不停机扩容承诺等关键条款不满足者按无效投标处理。</w:t>
      </w:r>
    </w:p>
    <w:p w14:paraId="48EC41E8">
      <w:pPr>
        <w:spacing w:line="360" w:lineRule="auto"/>
        <w:ind w:firstLine="480"/>
        <w:rPr>
          <w:rFonts w:ascii="宋体" w:hAnsi="宋体" w:cs="宋体"/>
          <w:color w:val="000000"/>
          <w:sz w:val="28"/>
          <w:szCs w:val="28"/>
        </w:rPr>
      </w:pPr>
      <w:r>
        <w:rPr>
          <w:rFonts w:hint="eastAsia" w:ascii="宋体" w:hAnsi="宋体" w:cs="宋体"/>
          <w:color w:val="000000"/>
          <w:sz w:val="28"/>
          <w:szCs w:val="28"/>
        </w:rPr>
        <w:t>故障级别定义及解决时间要求如下：</w:t>
      </w:r>
    </w:p>
    <w:tbl>
      <w:tblPr>
        <w:tblStyle w:val="6"/>
        <w:tblW w:w="862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9"/>
        <w:gridCol w:w="1396"/>
        <w:gridCol w:w="1559"/>
        <w:gridCol w:w="1418"/>
        <w:gridCol w:w="1294"/>
        <w:gridCol w:w="1257"/>
      </w:tblGrid>
      <w:tr w14:paraId="4D759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noWrap w:val="0"/>
            <w:vAlign w:val="top"/>
          </w:tcPr>
          <w:p w14:paraId="11EDB74E">
            <w:pPr>
              <w:jc w:val="center"/>
              <w:rPr>
                <w:rFonts w:ascii="宋体" w:hAnsi="宋体" w:cs="宋体"/>
                <w:color w:val="000000"/>
                <w:sz w:val="28"/>
                <w:szCs w:val="28"/>
              </w:rPr>
            </w:pPr>
            <w:r>
              <w:rPr>
                <w:rFonts w:hint="eastAsia" w:ascii="宋体" w:hAnsi="宋体" w:cs="宋体"/>
                <w:color w:val="000000"/>
                <w:sz w:val="28"/>
                <w:szCs w:val="28"/>
              </w:rPr>
              <w:t>故障级别</w:t>
            </w:r>
          </w:p>
        </w:tc>
        <w:tc>
          <w:tcPr>
            <w:tcW w:w="1396" w:type="dxa"/>
            <w:noWrap w:val="0"/>
            <w:vAlign w:val="top"/>
          </w:tcPr>
          <w:p w14:paraId="3C72BBCE">
            <w:pPr>
              <w:jc w:val="center"/>
              <w:rPr>
                <w:rFonts w:ascii="宋体" w:hAnsi="宋体" w:cs="宋体"/>
                <w:color w:val="000000"/>
                <w:sz w:val="28"/>
                <w:szCs w:val="28"/>
              </w:rPr>
            </w:pPr>
            <w:r>
              <w:rPr>
                <w:rFonts w:hint="eastAsia" w:ascii="宋体" w:hAnsi="宋体" w:cs="宋体"/>
                <w:color w:val="000000"/>
                <w:sz w:val="28"/>
                <w:szCs w:val="28"/>
              </w:rPr>
              <w:t>技术人员到场时间</w:t>
            </w:r>
          </w:p>
        </w:tc>
        <w:tc>
          <w:tcPr>
            <w:tcW w:w="1559" w:type="dxa"/>
            <w:noWrap w:val="0"/>
            <w:vAlign w:val="top"/>
          </w:tcPr>
          <w:p w14:paraId="74DF613B">
            <w:pPr>
              <w:jc w:val="center"/>
              <w:rPr>
                <w:rFonts w:ascii="宋体" w:hAnsi="宋体" w:cs="宋体"/>
                <w:color w:val="000000"/>
                <w:sz w:val="28"/>
                <w:szCs w:val="28"/>
              </w:rPr>
            </w:pPr>
            <w:r>
              <w:rPr>
                <w:rFonts w:hint="eastAsia" w:ascii="宋体" w:hAnsi="宋体" w:cs="宋体"/>
                <w:color w:val="000000"/>
                <w:sz w:val="28"/>
                <w:szCs w:val="28"/>
              </w:rPr>
              <w:t>提出解决方案</w:t>
            </w:r>
          </w:p>
        </w:tc>
        <w:tc>
          <w:tcPr>
            <w:tcW w:w="1418" w:type="dxa"/>
            <w:noWrap w:val="0"/>
            <w:vAlign w:val="top"/>
          </w:tcPr>
          <w:p w14:paraId="368A5D81">
            <w:pPr>
              <w:jc w:val="center"/>
              <w:rPr>
                <w:rFonts w:ascii="宋体" w:hAnsi="宋体" w:cs="宋体"/>
                <w:color w:val="000000"/>
                <w:sz w:val="28"/>
                <w:szCs w:val="28"/>
              </w:rPr>
            </w:pPr>
            <w:r>
              <w:rPr>
                <w:rFonts w:hint="eastAsia" w:ascii="宋体" w:hAnsi="宋体" w:cs="宋体"/>
                <w:color w:val="000000"/>
                <w:sz w:val="28"/>
                <w:szCs w:val="28"/>
              </w:rPr>
              <w:t>备件到场时间</w:t>
            </w:r>
          </w:p>
        </w:tc>
        <w:tc>
          <w:tcPr>
            <w:tcW w:w="1294" w:type="dxa"/>
            <w:noWrap w:val="0"/>
            <w:vAlign w:val="top"/>
          </w:tcPr>
          <w:p w14:paraId="3B20F8F7">
            <w:pPr>
              <w:jc w:val="center"/>
              <w:rPr>
                <w:rFonts w:ascii="宋体" w:hAnsi="宋体" w:cs="宋体"/>
                <w:color w:val="000000"/>
                <w:sz w:val="28"/>
                <w:szCs w:val="28"/>
              </w:rPr>
            </w:pPr>
            <w:r>
              <w:rPr>
                <w:rFonts w:hint="eastAsia" w:ascii="宋体" w:hAnsi="宋体" w:cs="宋体"/>
                <w:color w:val="000000"/>
                <w:sz w:val="28"/>
                <w:szCs w:val="28"/>
              </w:rPr>
              <w:t>解决时间</w:t>
            </w:r>
          </w:p>
        </w:tc>
        <w:tc>
          <w:tcPr>
            <w:tcW w:w="1257" w:type="dxa"/>
            <w:noWrap w:val="0"/>
            <w:vAlign w:val="top"/>
          </w:tcPr>
          <w:p w14:paraId="30EC94F5">
            <w:pPr>
              <w:jc w:val="center"/>
              <w:rPr>
                <w:rFonts w:ascii="宋体" w:hAnsi="宋体" w:cs="宋体"/>
                <w:color w:val="000000"/>
                <w:sz w:val="28"/>
                <w:szCs w:val="28"/>
              </w:rPr>
            </w:pPr>
            <w:r>
              <w:rPr>
                <w:rFonts w:hint="eastAsia" w:ascii="宋体" w:hAnsi="宋体" w:cs="宋体"/>
                <w:color w:val="000000"/>
                <w:sz w:val="28"/>
                <w:szCs w:val="28"/>
              </w:rPr>
              <w:t>其他</w:t>
            </w:r>
          </w:p>
        </w:tc>
      </w:tr>
      <w:tr w14:paraId="51895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699" w:type="dxa"/>
            <w:noWrap w:val="0"/>
            <w:vAlign w:val="top"/>
          </w:tcPr>
          <w:p w14:paraId="19B4A0C7">
            <w:pPr>
              <w:rPr>
                <w:rFonts w:ascii="宋体" w:hAnsi="宋体" w:cs="宋体"/>
                <w:color w:val="000000"/>
                <w:sz w:val="28"/>
                <w:szCs w:val="28"/>
              </w:rPr>
            </w:pPr>
            <w:r>
              <w:rPr>
                <w:rFonts w:hint="eastAsia" w:ascii="宋体" w:hAnsi="宋体" w:cs="宋体"/>
                <w:color w:val="000000"/>
                <w:sz w:val="28"/>
                <w:szCs w:val="28"/>
              </w:rPr>
              <w:t>Ⅰ级：属于重特大故障</w:t>
            </w:r>
            <w:r>
              <w:rPr>
                <w:rFonts w:hint="eastAsia" w:ascii="宋体" w:hAnsi="宋体" w:cs="宋体"/>
                <w:bCs/>
                <w:color w:val="000000"/>
                <w:sz w:val="28"/>
                <w:szCs w:val="28"/>
              </w:rPr>
              <w:t>或系统存在重大安全隐患的情况下</w:t>
            </w:r>
            <w:r>
              <w:rPr>
                <w:rFonts w:hint="eastAsia" w:ascii="宋体" w:hAnsi="宋体" w:cs="宋体"/>
                <w:color w:val="000000"/>
                <w:sz w:val="28"/>
                <w:szCs w:val="28"/>
              </w:rPr>
              <w:t>。</w:t>
            </w:r>
          </w:p>
        </w:tc>
        <w:tc>
          <w:tcPr>
            <w:tcW w:w="1396" w:type="dxa"/>
            <w:noWrap w:val="0"/>
            <w:vAlign w:val="top"/>
          </w:tcPr>
          <w:p w14:paraId="4A189A59">
            <w:pPr>
              <w:rPr>
                <w:rFonts w:ascii="宋体" w:hAnsi="宋体" w:cs="宋体"/>
                <w:color w:val="000000"/>
                <w:sz w:val="28"/>
                <w:szCs w:val="28"/>
              </w:rPr>
            </w:pPr>
            <w:r>
              <w:rPr>
                <w:rFonts w:hint="eastAsia" w:ascii="宋体" w:hAnsi="宋体" w:cs="宋体"/>
                <w:color w:val="000000"/>
                <w:sz w:val="28"/>
                <w:szCs w:val="28"/>
              </w:rPr>
              <w:t>接报30分钟以内到现场</w:t>
            </w:r>
          </w:p>
        </w:tc>
        <w:tc>
          <w:tcPr>
            <w:tcW w:w="1559" w:type="dxa"/>
            <w:noWrap w:val="0"/>
            <w:vAlign w:val="top"/>
          </w:tcPr>
          <w:p w14:paraId="792C54CF">
            <w:pPr>
              <w:rPr>
                <w:rFonts w:ascii="宋体" w:hAnsi="宋体" w:cs="宋体"/>
                <w:color w:val="000000"/>
                <w:sz w:val="28"/>
                <w:szCs w:val="28"/>
              </w:rPr>
            </w:pPr>
            <w:r>
              <w:rPr>
                <w:rFonts w:hint="eastAsia" w:ascii="宋体" w:hAnsi="宋体" w:cs="宋体"/>
                <w:color w:val="000000"/>
                <w:sz w:val="28"/>
                <w:szCs w:val="28"/>
              </w:rPr>
              <w:t>到现场后1小时内提交故障解决方案</w:t>
            </w:r>
          </w:p>
        </w:tc>
        <w:tc>
          <w:tcPr>
            <w:tcW w:w="1418" w:type="dxa"/>
            <w:noWrap w:val="0"/>
            <w:vAlign w:val="top"/>
          </w:tcPr>
          <w:p w14:paraId="281A81EA">
            <w:pPr>
              <w:rPr>
                <w:rFonts w:ascii="宋体" w:hAnsi="宋体" w:cs="宋体"/>
                <w:color w:val="000000"/>
                <w:sz w:val="28"/>
                <w:szCs w:val="28"/>
              </w:rPr>
            </w:pPr>
            <w:r>
              <w:rPr>
                <w:rFonts w:hint="eastAsia" w:ascii="宋体" w:hAnsi="宋体" w:cs="宋体"/>
                <w:color w:val="000000"/>
                <w:sz w:val="28"/>
                <w:szCs w:val="28"/>
              </w:rPr>
              <w:t>提出解决方案后1小时到现场</w:t>
            </w:r>
          </w:p>
        </w:tc>
        <w:tc>
          <w:tcPr>
            <w:tcW w:w="1294" w:type="dxa"/>
            <w:noWrap w:val="0"/>
            <w:vAlign w:val="top"/>
          </w:tcPr>
          <w:p w14:paraId="6950C1F6">
            <w:pPr>
              <w:rPr>
                <w:rFonts w:ascii="宋体" w:hAnsi="宋体" w:cs="宋体"/>
                <w:color w:val="000000"/>
                <w:sz w:val="28"/>
                <w:szCs w:val="28"/>
              </w:rPr>
            </w:pPr>
            <w:r>
              <w:rPr>
                <w:rFonts w:hint="eastAsia" w:ascii="宋体" w:hAnsi="宋体" w:cs="宋体"/>
                <w:color w:val="000000"/>
                <w:sz w:val="28"/>
                <w:szCs w:val="28"/>
              </w:rPr>
              <w:t>接报3小时以内</w:t>
            </w:r>
          </w:p>
        </w:tc>
        <w:tc>
          <w:tcPr>
            <w:tcW w:w="1257" w:type="dxa"/>
            <w:vMerge w:val="restart"/>
            <w:noWrap w:val="0"/>
            <w:vAlign w:val="top"/>
          </w:tcPr>
          <w:p w14:paraId="7DD4A76F">
            <w:pPr>
              <w:rPr>
                <w:rFonts w:ascii="宋体" w:hAnsi="宋体" w:cs="宋体"/>
                <w:color w:val="000000"/>
                <w:sz w:val="28"/>
                <w:szCs w:val="28"/>
              </w:rPr>
            </w:pPr>
            <w:r>
              <w:rPr>
                <w:rFonts w:hint="eastAsia" w:ascii="宋体" w:hAnsi="宋体" w:cs="宋体"/>
                <w:color w:val="000000"/>
                <w:sz w:val="28"/>
                <w:szCs w:val="28"/>
              </w:rPr>
              <w:t>特殊情况，电话通知或下发《紧急维修通知单》，3小时内必须修复。</w:t>
            </w:r>
          </w:p>
        </w:tc>
      </w:tr>
      <w:tr w14:paraId="358AB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noWrap w:val="0"/>
            <w:vAlign w:val="top"/>
          </w:tcPr>
          <w:p w14:paraId="0501EA94">
            <w:pPr>
              <w:rPr>
                <w:rFonts w:ascii="宋体" w:hAnsi="宋体" w:cs="宋体"/>
                <w:color w:val="000000"/>
                <w:sz w:val="28"/>
                <w:szCs w:val="28"/>
              </w:rPr>
            </w:pPr>
            <w:r>
              <w:rPr>
                <w:rFonts w:hint="eastAsia" w:ascii="宋体" w:hAnsi="宋体" w:cs="宋体"/>
                <w:color w:val="000000"/>
                <w:sz w:val="28"/>
                <w:szCs w:val="28"/>
              </w:rPr>
              <w:t>Ⅱ级：属于严重问题：其具体现象为：部分服务器系统发生故障、或小面积瘫痪但不影响系统整体运行。</w:t>
            </w:r>
          </w:p>
        </w:tc>
        <w:tc>
          <w:tcPr>
            <w:tcW w:w="1396" w:type="dxa"/>
            <w:noWrap w:val="0"/>
            <w:vAlign w:val="top"/>
          </w:tcPr>
          <w:p w14:paraId="111BD0D6">
            <w:pPr>
              <w:rPr>
                <w:rFonts w:ascii="宋体" w:hAnsi="宋体" w:cs="宋体"/>
                <w:color w:val="000000"/>
                <w:sz w:val="28"/>
                <w:szCs w:val="28"/>
              </w:rPr>
            </w:pPr>
            <w:r>
              <w:rPr>
                <w:rFonts w:hint="eastAsia" w:ascii="宋体" w:hAnsi="宋体" w:cs="宋体"/>
                <w:color w:val="000000"/>
                <w:sz w:val="28"/>
                <w:szCs w:val="28"/>
              </w:rPr>
              <w:t>接报30分钟以内到现场</w:t>
            </w:r>
          </w:p>
        </w:tc>
        <w:tc>
          <w:tcPr>
            <w:tcW w:w="1559" w:type="dxa"/>
            <w:noWrap w:val="0"/>
            <w:vAlign w:val="top"/>
          </w:tcPr>
          <w:p w14:paraId="0BEFA8BD">
            <w:pPr>
              <w:rPr>
                <w:rFonts w:ascii="宋体" w:hAnsi="宋体" w:cs="宋体"/>
                <w:color w:val="000000"/>
                <w:sz w:val="28"/>
                <w:szCs w:val="28"/>
              </w:rPr>
            </w:pPr>
            <w:r>
              <w:rPr>
                <w:rFonts w:hint="eastAsia" w:ascii="宋体" w:hAnsi="宋体" w:cs="宋体"/>
                <w:color w:val="000000"/>
                <w:sz w:val="28"/>
                <w:szCs w:val="28"/>
              </w:rPr>
              <w:t>到现场后1小时内提交故障解决方案</w:t>
            </w:r>
          </w:p>
        </w:tc>
        <w:tc>
          <w:tcPr>
            <w:tcW w:w="1418" w:type="dxa"/>
            <w:noWrap w:val="0"/>
            <w:vAlign w:val="top"/>
          </w:tcPr>
          <w:p w14:paraId="27554CFD">
            <w:pPr>
              <w:rPr>
                <w:rFonts w:ascii="宋体" w:hAnsi="宋体" w:cs="宋体"/>
                <w:color w:val="000000"/>
                <w:sz w:val="28"/>
                <w:szCs w:val="28"/>
              </w:rPr>
            </w:pPr>
            <w:r>
              <w:rPr>
                <w:rFonts w:hint="eastAsia" w:ascii="宋体" w:hAnsi="宋体" w:cs="宋体"/>
                <w:color w:val="000000"/>
                <w:sz w:val="28"/>
                <w:szCs w:val="28"/>
              </w:rPr>
              <w:t>提出解决方案后1小时到现场</w:t>
            </w:r>
          </w:p>
        </w:tc>
        <w:tc>
          <w:tcPr>
            <w:tcW w:w="1294" w:type="dxa"/>
            <w:noWrap w:val="0"/>
            <w:vAlign w:val="top"/>
          </w:tcPr>
          <w:p w14:paraId="5EB48B79">
            <w:pPr>
              <w:rPr>
                <w:rFonts w:ascii="宋体" w:hAnsi="宋体" w:cs="宋体"/>
                <w:color w:val="000000"/>
                <w:sz w:val="28"/>
                <w:szCs w:val="28"/>
              </w:rPr>
            </w:pPr>
            <w:r>
              <w:rPr>
                <w:rFonts w:hint="eastAsia" w:ascii="宋体" w:hAnsi="宋体" w:cs="宋体"/>
                <w:color w:val="000000"/>
                <w:sz w:val="28"/>
                <w:szCs w:val="28"/>
              </w:rPr>
              <w:t>接报6小时以内</w:t>
            </w:r>
          </w:p>
        </w:tc>
        <w:tc>
          <w:tcPr>
            <w:tcW w:w="1257" w:type="dxa"/>
            <w:vMerge w:val="continue"/>
            <w:noWrap w:val="0"/>
            <w:vAlign w:val="top"/>
          </w:tcPr>
          <w:p w14:paraId="77B58CC9">
            <w:pPr>
              <w:rPr>
                <w:rFonts w:ascii="宋体" w:hAnsi="宋体" w:cs="宋体"/>
                <w:color w:val="000000"/>
                <w:sz w:val="28"/>
                <w:szCs w:val="28"/>
              </w:rPr>
            </w:pPr>
          </w:p>
        </w:tc>
      </w:tr>
      <w:tr w14:paraId="06E13A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9" w:type="dxa"/>
            <w:noWrap w:val="0"/>
            <w:vAlign w:val="top"/>
          </w:tcPr>
          <w:p w14:paraId="2E63D4F0">
            <w:pPr>
              <w:rPr>
                <w:rFonts w:ascii="宋体" w:hAnsi="宋体" w:cs="宋体"/>
                <w:color w:val="000000"/>
                <w:sz w:val="28"/>
                <w:szCs w:val="28"/>
              </w:rPr>
            </w:pPr>
            <w:r>
              <w:rPr>
                <w:rFonts w:hint="eastAsia" w:ascii="宋体" w:hAnsi="宋体" w:cs="宋体"/>
                <w:color w:val="000000"/>
                <w:sz w:val="28"/>
                <w:szCs w:val="28"/>
              </w:rPr>
              <w:t>Ⅲ级：属于普通问题：其具体现象为：服务器、存储硬盘故障，交换机单点故障，服务故障。</w:t>
            </w:r>
          </w:p>
        </w:tc>
        <w:tc>
          <w:tcPr>
            <w:tcW w:w="1396" w:type="dxa"/>
            <w:noWrap w:val="0"/>
            <w:vAlign w:val="top"/>
          </w:tcPr>
          <w:p w14:paraId="1FA5C9C8">
            <w:pPr>
              <w:rPr>
                <w:rFonts w:ascii="宋体" w:hAnsi="宋体" w:cs="宋体"/>
                <w:color w:val="000000"/>
                <w:sz w:val="28"/>
                <w:szCs w:val="28"/>
              </w:rPr>
            </w:pPr>
            <w:r>
              <w:rPr>
                <w:rFonts w:hint="eastAsia" w:ascii="宋体" w:hAnsi="宋体" w:cs="宋体"/>
                <w:color w:val="000000"/>
                <w:sz w:val="28"/>
                <w:szCs w:val="28"/>
              </w:rPr>
              <w:t>接报2小时内到现场</w:t>
            </w:r>
          </w:p>
        </w:tc>
        <w:tc>
          <w:tcPr>
            <w:tcW w:w="1559" w:type="dxa"/>
            <w:noWrap w:val="0"/>
            <w:vAlign w:val="top"/>
          </w:tcPr>
          <w:p w14:paraId="4227F5ED">
            <w:pPr>
              <w:rPr>
                <w:rFonts w:ascii="宋体" w:hAnsi="宋体" w:cs="宋体"/>
                <w:color w:val="000000"/>
                <w:sz w:val="28"/>
                <w:szCs w:val="28"/>
              </w:rPr>
            </w:pPr>
            <w:r>
              <w:rPr>
                <w:rFonts w:hint="eastAsia" w:ascii="宋体" w:hAnsi="宋体" w:cs="宋体"/>
                <w:color w:val="000000"/>
                <w:sz w:val="28"/>
                <w:szCs w:val="28"/>
              </w:rPr>
              <w:t>即时提交或到现场后1小时内提交解决方案</w:t>
            </w:r>
          </w:p>
        </w:tc>
        <w:tc>
          <w:tcPr>
            <w:tcW w:w="1418" w:type="dxa"/>
            <w:noWrap w:val="0"/>
            <w:vAlign w:val="top"/>
          </w:tcPr>
          <w:p w14:paraId="200D692D">
            <w:pPr>
              <w:rPr>
                <w:rFonts w:ascii="宋体" w:hAnsi="宋体" w:cs="宋体"/>
                <w:color w:val="000000"/>
                <w:sz w:val="28"/>
                <w:szCs w:val="28"/>
              </w:rPr>
            </w:pPr>
            <w:r>
              <w:rPr>
                <w:rFonts w:hint="eastAsia" w:ascii="宋体" w:hAnsi="宋体" w:cs="宋体"/>
                <w:color w:val="000000"/>
                <w:sz w:val="28"/>
                <w:szCs w:val="28"/>
              </w:rPr>
              <w:t>视情况而定</w:t>
            </w:r>
          </w:p>
        </w:tc>
        <w:tc>
          <w:tcPr>
            <w:tcW w:w="1294" w:type="dxa"/>
            <w:noWrap w:val="0"/>
            <w:vAlign w:val="top"/>
          </w:tcPr>
          <w:p w14:paraId="0EB778DB">
            <w:pPr>
              <w:rPr>
                <w:rFonts w:ascii="宋体" w:hAnsi="宋体" w:cs="宋体"/>
                <w:color w:val="000000"/>
                <w:sz w:val="28"/>
                <w:szCs w:val="28"/>
              </w:rPr>
            </w:pPr>
            <w:r>
              <w:rPr>
                <w:rFonts w:hint="eastAsia" w:ascii="宋体" w:hAnsi="宋体" w:cs="宋体"/>
                <w:color w:val="000000"/>
                <w:sz w:val="28"/>
                <w:szCs w:val="28"/>
              </w:rPr>
              <w:t>接报12小时以内</w:t>
            </w:r>
          </w:p>
        </w:tc>
        <w:tc>
          <w:tcPr>
            <w:tcW w:w="1257" w:type="dxa"/>
            <w:vMerge w:val="continue"/>
            <w:noWrap w:val="0"/>
            <w:vAlign w:val="top"/>
          </w:tcPr>
          <w:p w14:paraId="22932565">
            <w:pPr>
              <w:rPr>
                <w:rFonts w:ascii="宋体" w:hAnsi="宋体" w:cs="宋体"/>
                <w:color w:val="000000"/>
                <w:sz w:val="28"/>
                <w:szCs w:val="28"/>
              </w:rPr>
            </w:pPr>
          </w:p>
        </w:tc>
      </w:tr>
    </w:tbl>
    <w:p w14:paraId="03FBE0E2">
      <w:pPr>
        <w:spacing w:line="560" w:lineRule="exact"/>
        <w:ind w:firstLine="560" w:firstLineChars="200"/>
        <w:rPr>
          <w:rFonts w:ascii="宋体" w:hAnsi="宋体"/>
          <w:color w:val="000000"/>
          <w:sz w:val="28"/>
          <w:szCs w:val="28"/>
        </w:rPr>
      </w:pPr>
      <w:r>
        <w:rPr>
          <w:rFonts w:hint="eastAsia" w:ascii="宋体" w:hAnsi="宋体" w:cs="宋体"/>
          <w:color w:val="000000"/>
          <w:sz w:val="28"/>
          <w:szCs w:val="28"/>
        </w:rPr>
        <w:t>2、培训要求：项目实施结束后，在接到采购人培训指令时，应在采购人规定的时间到达培训地点，对采购人相关管理人员进行免费现场培训</w:t>
      </w:r>
      <w:r>
        <w:rPr>
          <w:rFonts w:ascii="宋体" w:hAnsi="宋体" w:cs="宋体"/>
          <w:color w:val="000000"/>
          <w:sz w:val="28"/>
          <w:szCs w:val="28"/>
        </w:rPr>
        <w:t>,</w:t>
      </w:r>
      <w:r>
        <w:rPr>
          <w:rFonts w:hint="eastAsia" w:ascii="宋体" w:hAnsi="宋体" w:cs="宋体"/>
          <w:color w:val="000000"/>
          <w:sz w:val="28"/>
          <w:szCs w:val="28"/>
        </w:rPr>
        <w:t>提供不少于 3人/天的培训，采购人经过培训后，应能熟练掌握使用方法，独立完成日常的维护工作，掌握日常运行情况并能及时了解并排除大部分的日常故障。</w:t>
      </w:r>
    </w:p>
    <w:p w14:paraId="6C9B0CD4">
      <w:pPr>
        <w:spacing w:line="560" w:lineRule="exact"/>
        <w:ind w:firstLine="560" w:firstLineChars="200"/>
        <w:rPr>
          <w:rFonts w:ascii="宋体" w:hAnsi="宋体"/>
          <w:color w:val="000000"/>
          <w:sz w:val="28"/>
          <w:szCs w:val="28"/>
        </w:rPr>
      </w:pPr>
      <w:r>
        <w:rPr>
          <w:rFonts w:hint="eastAsia" w:ascii="宋体" w:hAnsi="宋体"/>
          <w:color w:val="000000"/>
          <w:sz w:val="28"/>
          <w:szCs w:val="28"/>
        </w:rPr>
        <w:t>3、</w:t>
      </w:r>
      <w:r>
        <w:rPr>
          <w:rFonts w:hint="eastAsia" w:ascii="宋体" w:hAnsi="宋体" w:cs="宋体"/>
          <w:color w:val="000000"/>
          <w:sz w:val="28"/>
          <w:szCs w:val="28"/>
        </w:rPr>
        <w:t>调研方</w:t>
      </w:r>
      <w:r>
        <w:rPr>
          <w:rFonts w:hint="eastAsia" w:ascii="宋体" w:hAnsi="宋体"/>
          <w:color w:val="000000"/>
          <w:sz w:val="28"/>
          <w:szCs w:val="28"/>
        </w:rPr>
        <w:t>必须是生产厂家或取得厂家授权的代理商，调研时代理商需提供原厂针对此项目的授权函；</w:t>
      </w:r>
    </w:p>
    <w:p w14:paraId="774F9D1C">
      <w:pPr>
        <w:spacing w:line="560" w:lineRule="exact"/>
        <w:rPr>
          <w:rFonts w:ascii="宋体" w:hAnsi="宋体"/>
          <w:b/>
          <w:bCs/>
          <w:color w:val="000000"/>
          <w:sz w:val="28"/>
          <w:szCs w:val="28"/>
        </w:rPr>
      </w:pPr>
      <w:r>
        <w:rPr>
          <w:rFonts w:hint="eastAsia" w:ascii="宋体" w:hAnsi="宋体"/>
          <w:b/>
          <w:bCs/>
          <w:color w:val="000000"/>
          <w:sz w:val="28"/>
          <w:szCs w:val="28"/>
        </w:rPr>
        <w:t>三、服务要求</w:t>
      </w:r>
    </w:p>
    <w:p w14:paraId="3A4EC4C4">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1、质保期：供应商报价时须承诺所供货物的免费质保期为三年（自验收报告签字确认日起，开始进入质保期）。</w:t>
      </w:r>
    </w:p>
    <w:p w14:paraId="399322CC">
      <w:pPr>
        <w:spacing w:line="560" w:lineRule="exact"/>
        <w:ind w:firstLine="560" w:firstLineChars="200"/>
        <w:rPr>
          <w:rFonts w:hint="eastAsia" w:ascii="宋体" w:hAnsi="宋体"/>
          <w:color w:val="000000"/>
          <w:sz w:val="28"/>
          <w:szCs w:val="28"/>
        </w:rPr>
      </w:pPr>
      <w:r>
        <w:rPr>
          <w:rFonts w:hint="eastAsia" w:ascii="宋体" w:hAnsi="宋体"/>
          <w:color w:val="000000"/>
          <w:sz w:val="28"/>
          <w:szCs w:val="28"/>
        </w:rPr>
        <w:t>2、服务响应时间：在接到服务请求1个小时内到达现场进行服务及保障。</w:t>
      </w:r>
    </w:p>
    <w:p w14:paraId="7087714B">
      <w:pPr>
        <w:spacing w:line="560" w:lineRule="exact"/>
        <w:ind w:firstLine="560" w:firstLineChars="200"/>
        <w:rPr>
          <w:rFonts w:hint="eastAsia" w:ascii="华文宋体" w:hAnsi="华文宋体" w:eastAsia="华文宋体"/>
          <w:bCs/>
          <w:sz w:val="24"/>
        </w:rPr>
      </w:pPr>
      <w:r>
        <w:rPr>
          <w:rFonts w:hint="eastAsia" w:ascii="宋体" w:hAnsi="宋体"/>
          <w:color w:val="000000"/>
          <w:sz w:val="28"/>
          <w:szCs w:val="28"/>
        </w:rPr>
        <w:t>3、</w:t>
      </w:r>
      <w:r>
        <w:rPr>
          <w:rFonts w:hint="eastAsia" w:ascii="宋体" w:hAnsi="宋体" w:eastAsia="宋体" w:cs="Times New Roman"/>
          <w:color w:val="000000"/>
          <w:sz w:val="28"/>
          <w:szCs w:val="28"/>
        </w:rPr>
        <w:t>其他要求</w:t>
      </w:r>
    </w:p>
    <w:p w14:paraId="3A385577">
      <w:pPr>
        <w:spacing w:line="560" w:lineRule="exact"/>
        <w:ind w:firstLine="560" w:firstLineChars="200"/>
        <w:rPr>
          <w:rFonts w:hint="eastAsia" w:ascii="宋体" w:hAnsi="宋体" w:eastAsia="宋体" w:cs="Times New Roman"/>
          <w:color w:val="000000"/>
          <w:sz w:val="28"/>
          <w:szCs w:val="28"/>
        </w:rPr>
      </w:pPr>
      <w:r>
        <w:rPr>
          <w:rFonts w:hint="eastAsia" w:ascii="宋体" w:hAnsi="宋体" w:eastAsia="宋体" w:cs="Times New Roman"/>
          <w:color w:val="000000"/>
          <w:sz w:val="28"/>
          <w:szCs w:val="28"/>
        </w:rPr>
        <w:t>网络设备兼容性要求: 本项目采购的网络设备须承诺所投产品可与医院现网核心链接，必须完全兼容医院现有核心设备，并承诺在不影响医院现网的情况下进行无感割接，须提供适配医院现有设备的兼容性承诺证明。</w:t>
      </w:r>
    </w:p>
    <w:p w14:paraId="37D5629C">
      <w:pPr>
        <w:spacing w:line="560" w:lineRule="exact"/>
        <w:ind w:firstLine="560" w:firstLineChars="200"/>
        <w:rPr>
          <w:rFonts w:hint="eastAsia" w:ascii="宋体" w:hAnsi="宋体" w:eastAsia="宋体" w:cs="Times New Roman"/>
          <w:color w:val="000000"/>
          <w:sz w:val="28"/>
          <w:szCs w:val="28"/>
        </w:rPr>
      </w:pPr>
      <w:r>
        <w:rPr>
          <w:rFonts w:hint="eastAsia" w:ascii="宋体" w:hAnsi="宋体" w:eastAsia="宋体" w:cs="Times New Roman"/>
          <w:color w:val="000000"/>
          <w:sz w:val="28"/>
          <w:szCs w:val="28"/>
        </w:rPr>
        <w:t>中标后，甲方有权邀请第三方对中标设备进行现网兼容性测试，如果检测结果达不到兼容性要求或遇到设备适配性问题，所投产品无法兼容匹配医院现有的系统，出于医院信息化系统的稳定性考虑，甲方有权要求供应商必须提供与原系统（或设备）可无缝对接的设备(含软件)，且原已投产品不予退还，所产生的任何费用均由投标单位承担；投标单位须提供兼容性承诺函。如投标单位不愿配合或无故拖延，废除中标方中标资格，并追究相关责任。</w:t>
      </w:r>
    </w:p>
    <w:p w14:paraId="30C47E62">
      <w:pPr>
        <w:spacing w:line="560" w:lineRule="exact"/>
        <w:ind w:firstLine="560" w:firstLineChars="200"/>
        <w:rPr>
          <w:rFonts w:hint="eastAsia" w:ascii="宋体" w:hAnsi="宋体" w:eastAsia="宋体" w:cs="Times New Roman"/>
          <w:color w:val="000000"/>
          <w:sz w:val="28"/>
          <w:szCs w:val="28"/>
        </w:rPr>
      </w:pPr>
    </w:p>
    <w:p w14:paraId="1A87322C">
      <w:pPr>
        <w:spacing w:line="560" w:lineRule="exact"/>
        <w:rPr>
          <w:rFonts w:ascii="宋体" w:hAnsi="宋体"/>
          <w:b/>
          <w:bCs/>
          <w:color w:val="000000"/>
          <w:sz w:val="28"/>
          <w:szCs w:val="28"/>
        </w:rPr>
      </w:pPr>
      <w:r>
        <w:rPr>
          <w:rFonts w:hint="eastAsia" w:ascii="宋体" w:hAnsi="宋体"/>
          <w:b/>
          <w:bCs/>
          <w:color w:val="000000"/>
          <w:sz w:val="28"/>
          <w:szCs w:val="28"/>
        </w:rPr>
        <w:t>四、项目实施要求</w:t>
      </w:r>
    </w:p>
    <w:p w14:paraId="15047628">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项目实施时间：签订合同之日起7个工作日内。</w:t>
      </w:r>
    </w:p>
    <w:bookmarkEnd w:id="0"/>
    <w:p w14:paraId="57A54168">
      <w:pPr>
        <w:spacing w:line="560" w:lineRule="exact"/>
        <w:rPr>
          <w:rFonts w:hint="eastAsia" w:ascii="宋体" w:hAnsi="宋体" w:cs="仿宋_GB2312"/>
          <w:b/>
          <w:bCs/>
          <w:color w:val="000000"/>
          <w:sz w:val="28"/>
          <w:szCs w:val="28"/>
        </w:rPr>
      </w:pPr>
      <w:r>
        <w:rPr>
          <w:rFonts w:hint="eastAsia" w:ascii="宋体" w:hAnsi="宋体" w:cs="仿宋_GB2312"/>
          <w:b/>
          <w:bCs/>
          <w:color w:val="000000"/>
          <w:sz w:val="28"/>
          <w:szCs w:val="28"/>
        </w:rPr>
        <w:t>五、现场调研</w:t>
      </w:r>
    </w:p>
    <w:p w14:paraId="12167C41"/>
    <w:p w14:paraId="64AD805B">
      <w:pPr>
        <w:spacing w:line="560" w:lineRule="exact"/>
        <w:ind w:firstLine="560" w:firstLineChars="200"/>
        <w:rPr>
          <w:rFonts w:ascii="宋体" w:hAnsi="宋体" w:cs="仿宋_GB2312"/>
          <w:color w:val="000000"/>
          <w:sz w:val="28"/>
          <w:szCs w:val="28"/>
        </w:rPr>
      </w:pPr>
      <w:r>
        <w:rPr>
          <w:rFonts w:hint="eastAsia" w:ascii="宋体" w:hAnsi="宋体" w:cs="仿宋_GB2312"/>
          <w:color w:val="000000"/>
          <w:sz w:val="28"/>
          <w:szCs w:val="28"/>
        </w:rPr>
        <w:t>项目具体情况请查看现场，联系电话：唐工 13222777718。</w:t>
      </w:r>
    </w:p>
    <w:p w14:paraId="4A7AE35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B0604020202020204"/>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华文宋体">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4NTY2ZTUwZDFiNGIwMTQyY2QwNjkxYTlmY2E0NzYifQ=="/>
  </w:docVars>
  <w:rsids>
    <w:rsidRoot w:val="61F8231B"/>
    <w:rsid w:val="00472763"/>
    <w:rsid w:val="00716849"/>
    <w:rsid w:val="00854777"/>
    <w:rsid w:val="00D02C65"/>
    <w:rsid w:val="23C92E69"/>
    <w:rsid w:val="2CB122E3"/>
    <w:rsid w:val="2D7A5E52"/>
    <w:rsid w:val="36640F7B"/>
    <w:rsid w:val="37BE1C3A"/>
    <w:rsid w:val="43D73020"/>
    <w:rsid w:val="50E56BC4"/>
    <w:rsid w:val="61F8231B"/>
    <w:rsid w:val="7FFF9187"/>
    <w:rsid w:val="DFFFCFE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6" w:lineRule="auto"/>
      <w:outlineLvl w:val="0"/>
    </w:pPr>
    <w:rPr>
      <w:b/>
      <w:bCs/>
      <w:kern w:val="44"/>
      <w:sz w:val="44"/>
      <w:szCs w:val="44"/>
    </w:rPr>
  </w:style>
  <w:style w:type="paragraph" w:styleId="4">
    <w:name w:val="heading 2"/>
    <w:basedOn w:val="1"/>
    <w:next w:val="1"/>
    <w:qFormat/>
    <w:uiPriority w:val="1"/>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4"/>
    <w:basedOn w:val="1"/>
    <w:next w:val="1"/>
    <w:qFormat/>
    <w:uiPriority w:val="0"/>
    <w:pPr>
      <w:keepNext/>
      <w:keepLines/>
      <w:spacing w:before="120" w:after="120"/>
      <w:outlineLvl w:val="3"/>
    </w:pPr>
    <w:rPr>
      <w:rFonts w:ascii="Arial" w:hAnsi="Arial" w:eastAsia="黑体"/>
      <w:b/>
      <w:sz w:val="28"/>
      <w:szCs w:val="20"/>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hAnsi="Arial" w:eastAsia="楷体_GB2312"/>
      <w:sz w:val="28"/>
    </w:rPr>
  </w:style>
  <w:style w:type="table" w:styleId="7">
    <w:name w:val="Table Grid"/>
    <w:basedOn w:val="6"/>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 New"/>
    <w:qFormat/>
    <w:uiPriority w:val="0"/>
    <w:pPr>
      <w:widowControl w:val="0"/>
      <w:jc w:val="both"/>
    </w:pPr>
    <w:rPr>
      <w:rFonts w:ascii="Times New Roman" w:hAnsi="Times New Roman" w:eastAsia="宋体" w:cs="Times New Roman"/>
      <w:szCs w:val="24"/>
      <w:lang w:val="en-US" w:eastAsia="zh-CN" w:bidi="ar-SA"/>
    </w:rPr>
  </w:style>
  <w:style w:type="table" w:customStyle="1" w:styleId="10">
    <w:name w:val="Table Normal"/>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1697</Words>
  <Characters>1806</Characters>
  <Lines>19</Lines>
  <Paragraphs>5</Paragraphs>
  <TotalTime>5</TotalTime>
  <ScaleCrop>false</ScaleCrop>
  <LinksUpToDate>false</LinksUpToDate>
  <CharactersWithSpaces>1832</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2026-03-26T03:42:00Z</dcterms:created>
  <dc:creator>李晓兰</dc:creator>
  <cp:lastModifiedBy>唐老鸭</cp:lastModifiedBy>
  <dcterms:modified xsi:type="dcterms:W3CDTF">2026-04-14T00:25:33Z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5139A4491CF9458E8CF27B12E01AC531_13</vt:lpwstr>
  </property>
  <property fmtid="{D5CDD505-2E9C-101B-9397-08002B2CF9AE}" pid="4" name="KSOTemplateDocerSaveRecord">
    <vt:lpwstr>eyJoZGlkIjoiZTg1MjYzNDliY2FiZGQ3MjY5N2RjZjRlODNhZWIxNmUiLCJ1c2VySWQiOiIzOTM2OTYwMTgifQ==</vt:lpwstr>
  </property>
</Properties>
</file>