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3"/>
        <w:rPr>
          <w:color w:val="auto"/>
        </w:rPr>
      </w:pPr>
      <w:r>
        <w:rPr>
          <w:rFonts w:hint="eastAsia"/>
          <w:color w:val="auto"/>
        </w:rPr>
        <w:t>纪检监察工作平台软件采购</w:t>
      </w:r>
      <w:r>
        <w:rPr>
          <w:color w:val="auto"/>
        </w:rPr>
        <w:t>项目调研</w:t>
      </w:r>
      <w:bookmarkStart w:id="0" w:name="_GoBack"/>
      <w:bookmarkEnd w:id="0"/>
    </w:p>
    <w:p w14:paraId="36DF89C3">
      <w:pPr>
        <w:rPr>
          <w:color w:val="auto"/>
        </w:rPr>
      </w:pPr>
      <w:r>
        <w:rPr>
          <w:rFonts w:hint="eastAsia"/>
          <w:color w:val="auto"/>
        </w:rPr>
        <w:t>根据医院工作需要，现对</w:t>
      </w:r>
      <w:r>
        <w:rPr>
          <w:rFonts w:hint="eastAsia"/>
          <w:b/>
          <w:color w:val="auto"/>
        </w:rPr>
        <w:t>本院纪检监察工作平台软件采购项目</w:t>
      </w:r>
      <w:r>
        <w:rPr>
          <w:rFonts w:hint="eastAsia"/>
          <w:color w:val="auto"/>
        </w:rPr>
        <w:t>进行采购前需求调查并征集供应商报价，欢迎合格供应商前来响应，具体事宜公告如下：</w:t>
      </w:r>
    </w:p>
    <w:p w14:paraId="447FE381">
      <w:pPr>
        <w:pStyle w:val="2"/>
        <w:ind w:firstLine="643"/>
        <w:rPr>
          <w:color w:val="auto"/>
        </w:rPr>
      </w:pPr>
      <w:r>
        <w:rPr>
          <w:color w:val="auto"/>
        </w:rPr>
        <w:t>一、采购项目内容</w:t>
      </w:r>
    </w:p>
    <w:tbl>
      <w:tblPr>
        <w:tblStyle w:val="5"/>
        <w:tblW w:w="422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4219"/>
        <w:gridCol w:w="2018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firstLine="0" w:firstLineChars="0"/>
              <w:rPr>
                <w:color w:val="auto"/>
              </w:rPr>
            </w:pPr>
            <w:r>
              <w:rPr>
                <w:color w:val="auto"/>
              </w:rPr>
              <w:t>序号</w:t>
            </w:r>
          </w:p>
        </w:tc>
        <w:tc>
          <w:tcPr>
            <w:tcW w:w="2931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rPr>
                <w:color w:val="auto"/>
              </w:rPr>
            </w:pPr>
            <w:r>
              <w:rPr>
                <w:color w:val="auto"/>
              </w:rPr>
              <w:t>产品配置</w:t>
            </w:r>
          </w:p>
        </w:tc>
        <w:tc>
          <w:tcPr>
            <w:tcW w:w="1402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rPr>
                <w:color w:val="auto"/>
              </w:rPr>
            </w:pPr>
            <w:r>
              <w:rPr>
                <w:color w:val="auto"/>
              </w:rPr>
              <w:t>数量</w:t>
            </w:r>
            <w:r>
              <w:rPr>
                <w:rFonts w:hint="eastAsia"/>
                <w:color w:val="auto"/>
              </w:rPr>
              <w:t>（套）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931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纪检监察工作平台软件</w:t>
            </w:r>
          </w:p>
        </w:tc>
        <w:tc>
          <w:tcPr>
            <w:tcW w:w="1402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</w:tr>
    </w:tbl>
    <w:p w14:paraId="069C88A4">
      <w:pPr>
        <w:pStyle w:val="2"/>
        <w:ind w:firstLine="643"/>
        <w:rPr>
          <w:color w:val="auto"/>
        </w:rPr>
      </w:pPr>
      <w:r>
        <w:rPr>
          <w:color w:val="auto"/>
        </w:rPr>
        <w:t>二、核心服务内容</w:t>
      </w:r>
    </w:p>
    <w:p w14:paraId="2683E6B7">
      <w:pPr>
        <w:pStyle w:val="4"/>
        <w:ind w:firstLine="562"/>
        <w:rPr>
          <w:rFonts w:eastAsia="宋体"/>
          <w:color w:val="auto"/>
          <w:kern w:val="0"/>
          <w:sz w:val="28"/>
          <w:szCs w:val="28"/>
        </w:rPr>
      </w:pPr>
      <w:r>
        <w:rPr>
          <w:color w:val="auto"/>
          <w:sz w:val="28"/>
          <w:szCs w:val="28"/>
        </w:rPr>
        <w:t>（1）统一门户系统</w:t>
      </w:r>
    </w:p>
    <w:p w14:paraId="2D36D43F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门户权限管理</w:t>
      </w:r>
      <w:r>
        <w:rPr>
          <w:color w:val="auto"/>
        </w:rPr>
        <w:t>：集成</w:t>
      </w:r>
      <w:r>
        <w:rPr>
          <w:bCs/>
          <w:color w:val="auto"/>
        </w:rPr>
        <w:t>廉政档案管理、</w:t>
      </w:r>
      <w:r>
        <w:rPr>
          <w:rFonts w:hint="eastAsia"/>
          <w:bCs/>
          <w:color w:val="auto"/>
          <w:lang w:eastAsia="zh-CN"/>
        </w:rPr>
        <w:t>信访</w:t>
      </w:r>
      <w:r>
        <w:rPr>
          <w:bCs/>
          <w:color w:val="auto"/>
        </w:rPr>
        <w:t>管理</w:t>
      </w:r>
      <w:r>
        <w:rPr>
          <w:rFonts w:hint="eastAsia"/>
          <w:bCs/>
          <w:color w:val="auto"/>
          <w:lang w:eastAsia="zh-CN"/>
        </w:rPr>
        <w:t>两</w:t>
      </w:r>
      <w:r>
        <w:rPr>
          <w:color w:val="auto"/>
        </w:rPr>
        <w:t>大系统身份认证，实现一人一账号、一登全办理；基于</w:t>
      </w:r>
      <w:r>
        <w:rPr>
          <w:bCs/>
          <w:color w:val="auto"/>
        </w:rPr>
        <w:t>低代码权限引擎</w:t>
      </w:r>
      <w:r>
        <w:rPr>
          <w:color w:val="auto"/>
        </w:rPr>
        <w:t>，支持按岗位、职级、业务场景自定义配置模块访问权、数据查看权、操作权。</w:t>
      </w:r>
    </w:p>
    <w:p w14:paraId="2B793F98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个性化工作台</w:t>
      </w:r>
      <w:r>
        <w:rPr>
          <w:color w:val="auto"/>
        </w:rPr>
        <w:t>：提供低代码可视化配置界面，支持自定义工作台布局，可配置常用功能入口、待办事项提醒、数据统计看板、风险预警提示。</w:t>
      </w:r>
    </w:p>
    <w:p w14:paraId="6589615D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系统集成适配</w:t>
      </w:r>
      <w:r>
        <w:rPr>
          <w:color w:val="auto"/>
        </w:rPr>
        <w:t>：预留标准化低代码集成接口，支持与院内现有信息系统、后续新增业务系统</w:t>
      </w:r>
      <w:r>
        <w:rPr>
          <w:rStyle w:val="7"/>
          <w:rFonts w:ascii="Arial" w:hAnsi="Arial" w:cs="Arial"/>
          <w:b w:val="0"/>
          <w:color w:val="auto"/>
        </w:rPr>
        <w:t>快速对接</w:t>
      </w:r>
      <w:r>
        <w:rPr>
          <w:rFonts w:hint="eastAsia"/>
          <w:color w:val="auto"/>
        </w:rPr>
        <w:t>，</w:t>
      </w:r>
      <w:r>
        <w:rPr>
          <w:color w:val="auto"/>
        </w:rPr>
        <w:t>无需重构即可扩展平台功能。</w:t>
      </w:r>
    </w:p>
    <w:p w14:paraId="626920FF">
      <w:pPr>
        <w:pStyle w:val="4"/>
        <w:ind w:firstLine="56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（2）低代码自定义能力模块</w:t>
      </w:r>
    </w:p>
    <w:p w14:paraId="7623CC45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表单自定义</w:t>
      </w:r>
      <w:r>
        <w:rPr>
          <w:color w:val="auto"/>
        </w:rPr>
        <w:t>：提供可视化表单设计器，支持用户</w:t>
      </w:r>
      <w:r>
        <w:rPr>
          <w:rStyle w:val="7"/>
          <w:rFonts w:ascii="Arial" w:hAnsi="Arial" w:cs="Arial"/>
          <w:b w:val="0"/>
          <w:color w:val="auto"/>
        </w:rPr>
        <w:t>自主增删改字段</w:t>
      </w:r>
      <w:r>
        <w:rPr>
          <w:color w:val="auto"/>
        </w:rPr>
        <w:t>，可自定义廉政档案、</w:t>
      </w:r>
      <w:r>
        <w:rPr>
          <w:rFonts w:hint="eastAsia"/>
          <w:color w:val="auto"/>
          <w:lang w:eastAsia="zh-CN"/>
        </w:rPr>
        <w:t>信访</w:t>
      </w:r>
      <w:r>
        <w:rPr>
          <w:color w:val="auto"/>
        </w:rPr>
        <w:t>登记相关表单；支持字段校验、联动逻辑、必填项、显示隐藏规则配置。</w:t>
      </w:r>
    </w:p>
    <w:p w14:paraId="56607A03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流程自定义</w:t>
      </w:r>
      <w:r>
        <w:rPr>
          <w:color w:val="auto"/>
        </w:rPr>
        <w:t>：支持</w:t>
      </w:r>
      <w:r>
        <w:rPr>
          <w:rStyle w:val="7"/>
          <w:rFonts w:ascii="Arial" w:hAnsi="Arial" w:cs="Arial"/>
          <w:b w:val="0"/>
          <w:color w:val="auto"/>
        </w:rPr>
        <w:t>流程编排</w:t>
      </w:r>
      <w:r>
        <w:rPr>
          <w:color w:val="auto"/>
        </w:rPr>
        <w:t>，可自定义</w:t>
      </w:r>
      <w:r>
        <w:rPr>
          <w:rFonts w:hint="eastAsia"/>
          <w:color w:val="auto"/>
          <w:lang w:eastAsia="zh-CN"/>
        </w:rPr>
        <w:t>信访</w:t>
      </w:r>
      <w:r>
        <w:rPr>
          <w:color w:val="auto"/>
        </w:rPr>
        <w:t>办理流程、廉政档案审核流程；支持流程节点权限、办理时限、超时提醒、转办规则配置。</w:t>
      </w:r>
    </w:p>
    <w:p w14:paraId="4E35A42C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报表自定义</w:t>
      </w:r>
      <w:r>
        <w:rPr>
          <w:color w:val="auto"/>
        </w:rPr>
        <w:t>：提供低代码报表与图表工具，支持按时间、部门、人员、风险等级等维度</w:t>
      </w:r>
      <w:r>
        <w:rPr>
          <w:rStyle w:val="7"/>
          <w:rFonts w:ascii="Arial" w:hAnsi="Arial" w:cs="Arial"/>
          <w:b w:val="0"/>
          <w:color w:val="auto"/>
        </w:rPr>
        <w:t>自主配置统计报表</w:t>
      </w:r>
      <w:r>
        <w:rPr>
          <w:color w:val="auto"/>
        </w:rPr>
        <w:t>；可生成廉政档案汇总表、</w:t>
      </w:r>
      <w:r>
        <w:rPr>
          <w:rFonts w:hint="eastAsia"/>
          <w:color w:val="auto"/>
          <w:lang w:eastAsia="zh-CN"/>
        </w:rPr>
        <w:t>信访</w:t>
      </w:r>
      <w:r>
        <w:rPr>
          <w:color w:val="auto"/>
        </w:rPr>
        <w:t>办理分析图</w:t>
      </w:r>
      <w:r>
        <w:rPr>
          <w:rFonts w:hint="eastAsia"/>
          <w:color w:val="auto"/>
        </w:rPr>
        <w:t>等</w:t>
      </w:r>
      <w:r>
        <w:rPr>
          <w:color w:val="auto"/>
        </w:rPr>
        <w:t>，支持导出与打印。</w:t>
      </w:r>
    </w:p>
    <w:p w14:paraId="7AE81914">
      <w:pPr>
        <w:pStyle w:val="4"/>
        <w:ind w:firstLine="56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（3）廉政档案管理模块</w:t>
      </w:r>
    </w:p>
    <w:p w14:paraId="35170017">
      <w:pPr>
        <w:rPr>
          <w:color w:val="auto"/>
        </w:rPr>
      </w:pPr>
      <w:r>
        <w:rPr>
          <w:color w:val="auto"/>
        </w:rPr>
        <w:t>支持干部廉政档案</w:t>
      </w:r>
      <w:r>
        <w:rPr>
          <w:rStyle w:val="7"/>
          <w:rFonts w:ascii="Arial" w:hAnsi="Arial" w:cs="Arial"/>
          <w:b w:val="0"/>
          <w:color w:val="auto"/>
        </w:rPr>
        <w:t>申报、审核、归档、查询、更新</w:t>
      </w:r>
      <w:r>
        <w:rPr>
          <w:color w:val="auto"/>
        </w:rPr>
        <w:t>全生命周期管理，支持申报任务下发、进度跟踪、</w:t>
      </w:r>
      <w:r>
        <w:rPr>
          <w:rFonts w:hint="eastAsia"/>
          <w:color w:val="auto"/>
        </w:rPr>
        <w:t>退回</w:t>
      </w:r>
      <w:r>
        <w:rPr>
          <w:color w:val="auto"/>
        </w:rPr>
        <w:t>提醒。</w:t>
      </w:r>
    </w:p>
    <w:p w14:paraId="4E6B3484">
      <w:pPr>
        <w:rPr>
          <w:color w:val="auto"/>
        </w:rPr>
      </w:pPr>
      <w:r>
        <w:rPr>
          <w:color w:val="auto"/>
        </w:rPr>
        <w:t>支持与</w:t>
      </w:r>
      <w:r>
        <w:rPr>
          <w:rStyle w:val="7"/>
          <w:rFonts w:hint="eastAsia" w:ascii="Arial" w:hAnsi="Arial" w:cs="Arial"/>
          <w:b w:val="0"/>
          <w:color w:val="auto"/>
          <w:lang w:eastAsia="zh-CN"/>
        </w:rPr>
        <w:t>信访</w:t>
      </w:r>
      <w:r>
        <w:rPr>
          <w:rStyle w:val="7"/>
          <w:rFonts w:ascii="Arial" w:hAnsi="Arial" w:cs="Arial"/>
          <w:b w:val="0"/>
          <w:color w:val="auto"/>
        </w:rPr>
        <w:t>记录结果</w:t>
      </w:r>
      <w:r>
        <w:rPr>
          <w:color w:val="auto"/>
        </w:rPr>
        <w:t>自动关联展示，可通过低代码自定义关联维度与展示内容。</w:t>
      </w:r>
    </w:p>
    <w:p w14:paraId="01CA94B5">
      <w:pPr>
        <w:rPr>
          <w:color w:val="auto"/>
        </w:rPr>
      </w:pPr>
      <w:r>
        <w:rPr>
          <w:color w:val="auto"/>
        </w:rPr>
        <w:t>支持通过低代码表单</w:t>
      </w:r>
      <w:r>
        <w:rPr>
          <w:rStyle w:val="7"/>
          <w:rFonts w:ascii="Arial" w:hAnsi="Arial" w:cs="Arial"/>
          <w:b w:val="0"/>
          <w:color w:val="auto"/>
        </w:rPr>
        <w:t>灵活扩展档案类型，如专项监督档</w:t>
      </w:r>
      <w:r>
        <w:rPr>
          <w:color w:val="auto"/>
        </w:rPr>
        <w:t>案、廉政审查档案、问题整改档案等，无需额外开发即可适配业务变化。</w:t>
      </w:r>
    </w:p>
    <w:p w14:paraId="53B794AE">
      <w:pPr>
        <w:pStyle w:val="4"/>
        <w:ind w:firstLine="56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（4）</w:t>
      </w:r>
      <w:r>
        <w:rPr>
          <w:rFonts w:hint="eastAsia"/>
          <w:color w:val="auto"/>
          <w:sz w:val="28"/>
          <w:szCs w:val="28"/>
          <w:lang w:eastAsia="zh-CN"/>
        </w:rPr>
        <w:t>信访</w:t>
      </w:r>
      <w:r>
        <w:rPr>
          <w:color w:val="auto"/>
          <w:sz w:val="28"/>
          <w:szCs w:val="28"/>
        </w:rPr>
        <w:t>管理模块</w:t>
      </w:r>
    </w:p>
    <w:p w14:paraId="44CFC881">
      <w:pPr>
        <w:rPr>
          <w:color w:val="auto"/>
        </w:rPr>
      </w:pPr>
      <w:r>
        <w:rPr>
          <w:color w:val="auto"/>
        </w:rPr>
        <w:t>建设</w:t>
      </w:r>
      <w:r>
        <w:rPr>
          <w:rFonts w:hint="eastAsia"/>
          <w:color w:val="auto"/>
          <w:lang w:eastAsia="zh-CN"/>
        </w:rPr>
        <w:t>信访</w:t>
      </w:r>
      <w:r>
        <w:rPr>
          <w:bCs/>
          <w:color w:val="auto"/>
        </w:rPr>
        <w:t>登记、受理</w:t>
      </w:r>
      <w:r>
        <w:rPr>
          <w:rFonts w:hint="eastAsia"/>
          <w:bCs/>
          <w:color w:val="auto"/>
          <w:lang w:eastAsia="zh-CN"/>
        </w:rPr>
        <w:t>、</w:t>
      </w:r>
      <w:r>
        <w:rPr>
          <w:bCs/>
          <w:color w:val="auto"/>
        </w:rPr>
        <w:t>办理、督办、反馈、归档</w:t>
      </w:r>
      <w:r>
        <w:rPr>
          <w:color w:val="auto"/>
        </w:rPr>
        <w:t>全流程闭环管理，支持线上流转与痕迹留存。</w:t>
      </w:r>
    </w:p>
    <w:p w14:paraId="724BDFEA">
      <w:pPr>
        <w:rPr>
          <w:rFonts w:hint="eastAsia" w:eastAsiaTheme="minorEastAsia"/>
          <w:color w:val="auto"/>
          <w:lang w:eastAsia="zh-CN"/>
        </w:rPr>
      </w:pPr>
      <w:r>
        <w:rPr>
          <w:color w:val="auto"/>
        </w:rPr>
        <w:t>支持通过低代码自定义</w:t>
      </w:r>
      <w:r>
        <w:rPr>
          <w:rStyle w:val="7"/>
          <w:rFonts w:hint="eastAsia" w:ascii="Arial" w:hAnsi="Arial" w:cs="Arial"/>
          <w:b w:val="0"/>
          <w:color w:val="auto"/>
          <w:lang w:eastAsia="zh-CN"/>
        </w:rPr>
        <w:t>信访</w:t>
      </w:r>
      <w:r>
        <w:rPr>
          <w:rStyle w:val="7"/>
          <w:rFonts w:ascii="Arial" w:hAnsi="Arial" w:cs="Arial"/>
          <w:b w:val="0"/>
          <w:color w:val="auto"/>
        </w:rPr>
        <w:t>分类、办理时限、处置流程</w:t>
      </w:r>
      <w:r>
        <w:rPr>
          <w:color w:val="auto"/>
        </w:rPr>
        <w:t>，可针对一般</w:t>
      </w:r>
      <w:r>
        <w:rPr>
          <w:rFonts w:hint="eastAsia"/>
          <w:color w:val="auto"/>
          <w:lang w:eastAsia="zh-CN"/>
        </w:rPr>
        <w:t>信访</w:t>
      </w:r>
      <w:r>
        <w:rPr>
          <w:color w:val="auto"/>
        </w:rPr>
        <w:t>、重大</w:t>
      </w:r>
      <w:r>
        <w:rPr>
          <w:rFonts w:hint="eastAsia"/>
          <w:color w:val="auto"/>
          <w:lang w:eastAsia="zh-CN"/>
        </w:rPr>
        <w:t>信访</w:t>
      </w:r>
      <w:r>
        <w:rPr>
          <w:color w:val="auto"/>
        </w:rPr>
        <w:t>设置差异化办理规则。</w:t>
      </w:r>
    </w:p>
    <w:p w14:paraId="18CA6A32">
      <w:pPr>
        <w:pStyle w:val="2"/>
        <w:ind w:firstLine="643"/>
        <w:rPr>
          <w:color w:val="auto"/>
        </w:rPr>
      </w:pPr>
      <w:r>
        <w:rPr>
          <w:color w:val="auto"/>
        </w:rPr>
        <w:t>三、系统技术架构及最低参数要求</w:t>
      </w:r>
    </w:p>
    <w:p w14:paraId="2858AE9F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平台底座</w:t>
      </w:r>
      <w:r>
        <w:rPr>
          <w:color w:val="auto"/>
        </w:rPr>
        <w:t>：采用</w:t>
      </w:r>
      <w:r>
        <w:rPr>
          <w:bCs/>
          <w:color w:val="auto"/>
        </w:rPr>
        <w:t>成熟低代码开发平台</w:t>
      </w:r>
      <w:r>
        <w:rPr>
          <w:color w:val="auto"/>
        </w:rPr>
        <w:t>搭建，支持可视化配置、无代码/低代码扩展。</w:t>
      </w:r>
    </w:p>
    <w:p w14:paraId="6D2FD4EA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部署方式</w:t>
      </w:r>
      <w:r>
        <w:rPr>
          <w:color w:val="auto"/>
        </w:rPr>
        <w:t>：支持医院内网部署，兼容主流服务器与操作系统，数据存储安全可靠。</w:t>
      </w:r>
    </w:p>
    <w:p w14:paraId="5F07F5F7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数据安全</w:t>
      </w:r>
      <w:r>
        <w:rPr>
          <w:color w:val="auto"/>
        </w:rPr>
        <w:t>：具备完善的数据加密、操作日志、权限管控、数据备份恢复机制。</w:t>
      </w:r>
    </w:p>
    <w:p w14:paraId="4F73E05E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兼容性</w:t>
      </w:r>
      <w:r>
        <w:rPr>
          <w:color w:val="auto"/>
        </w:rPr>
        <w:t>：支持与医院HIS、OA等现有信息系统对接，数据互通无壁垒。</w:t>
      </w:r>
    </w:p>
    <w:p w14:paraId="2B73559C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易用性</w:t>
      </w:r>
      <w:r>
        <w:rPr>
          <w:color w:val="auto"/>
        </w:rPr>
        <w:t>：界面简洁、操作便捷，支持PC端访问，适配院内办公环境。</w:t>
      </w:r>
    </w:p>
    <w:p w14:paraId="02A804E3">
      <w:pPr>
        <w:pStyle w:val="2"/>
        <w:ind w:firstLine="643"/>
        <w:rPr>
          <w:color w:val="auto"/>
        </w:rPr>
      </w:pPr>
      <w:r>
        <w:rPr>
          <w:color w:val="auto"/>
        </w:rPr>
        <w:t>四、商务售后要求</w:t>
      </w:r>
    </w:p>
    <w:p w14:paraId="02D02952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免费质保</w:t>
      </w:r>
      <w:r>
        <w:rPr>
          <w:color w:val="auto"/>
        </w:rPr>
        <w:t>：供应商提供</w:t>
      </w:r>
      <w:r>
        <w:rPr>
          <w:rStyle w:val="7"/>
          <w:rFonts w:ascii="Arial" w:hAnsi="Arial" w:cs="Arial"/>
          <w:b w:val="0"/>
          <w:color w:val="auto"/>
        </w:rPr>
        <w:t>1年免费基础技术保障服务</w:t>
      </w:r>
      <w:r>
        <w:rPr>
          <w:b/>
          <w:color w:val="auto"/>
        </w:rPr>
        <w:t>，</w:t>
      </w:r>
      <w:r>
        <w:rPr>
          <w:color w:val="auto"/>
        </w:rPr>
        <w:t>质保期内提供常态化远程技术支撑、故障排查、版本升级。</w:t>
      </w:r>
    </w:p>
    <w:p w14:paraId="06CDF2C1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服务体系</w:t>
      </w:r>
      <w:r>
        <w:rPr>
          <w:color w:val="auto"/>
        </w:rPr>
        <w:t>：供应商须具备完善售后服务体系，</w:t>
      </w:r>
      <w:r>
        <w:rPr>
          <w:rFonts w:hint="eastAsia"/>
          <w:color w:val="auto"/>
        </w:rPr>
        <w:t>提供本地化服务。</w:t>
      </w:r>
    </w:p>
    <w:p w14:paraId="25E696EC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响应标准</w:t>
      </w:r>
      <w:r>
        <w:rPr>
          <w:color w:val="auto"/>
        </w:rPr>
        <w:t>：提供</w:t>
      </w:r>
      <w:r>
        <w:rPr>
          <w:rStyle w:val="7"/>
          <w:rFonts w:ascii="Arial" w:hAnsi="Arial" w:cs="Arial"/>
          <w:b w:val="0"/>
          <w:color w:val="auto"/>
        </w:rPr>
        <w:t>7×8小时</w:t>
      </w:r>
      <w:r>
        <w:rPr>
          <w:color w:val="auto"/>
        </w:rPr>
        <w:t>远程咨询与线上技术支持；远程可解决问题优先远程处置；确需现场处置、系统合规升级的，按双方约定及时提供上门服务。</w:t>
      </w:r>
    </w:p>
    <w:p w14:paraId="1A38B286">
      <w:pPr>
        <w:pStyle w:val="2"/>
        <w:ind w:firstLine="643"/>
        <w:rPr>
          <w:color w:val="auto"/>
        </w:rPr>
      </w:pPr>
      <w:r>
        <w:rPr>
          <w:color w:val="auto"/>
        </w:rPr>
        <w:t>五、项目实施要求</w:t>
      </w:r>
    </w:p>
    <w:p w14:paraId="5E9C0C94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实施周期</w:t>
      </w:r>
      <w:r>
        <w:rPr>
          <w:color w:val="auto"/>
        </w:rPr>
        <w:t>：按医院要求合理安排实施计划，确保按期上线运行。</w:t>
      </w:r>
    </w:p>
    <w:p w14:paraId="239B78E3">
      <w:pPr>
        <w:ind w:firstLine="422"/>
        <w:rPr>
          <w:color w:val="auto"/>
        </w:rPr>
      </w:pPr>
      <w:r>
        <w:rPr>
          <w:rStyle w:val="7"/>
          <w:rFonts w:ascii="Arial" w:hAnsi="Arial" w:cs="Arial"/>
          <w:color w:val="auto"/>
        </w:rPr>
        <w:t>交付成果</w:t>
      </w:r>
      <w:r>
        <w:rPr>
          <w:color w:val="auto"/>
        </w:rPr>
        <w:t>：含系统软件、部署文档、操作手册、培训材料、验收报告等。</w:t>
      </w:r>
    </w:p>
    <w:p w14:paraId="070D1580">
      <w:pPr>
        <w:pStyle w:val="2"/>
        <w:ind w:firstLine="643"/>
        <w:rPr>
          <w:color w:val="auto"/>
        </w:rPr>
      </w:pPr>
      <w:r>
        <w:rPr>
          <w:color w:val="auto"/>
        </w:rPr>
        <w:t>六、现场对接</w:t>
      </w:r>
    </w:p>
    <w:p w14:paraId="496E8E93">
      <w:pPr>
        <w:rPr>
          <w:color w:val="auto"/>
        </w:rPr>
      </w:pPr>
      <w:r>
        <w:rPr>
          <w:rFonts w:hint="eastAsia"/>
          <w:color w:val="auto"/>
        </w:rPr>
        <w:t>如需了解现场情况，联系电话：</w:t>
      </w:r>
      <w:r>
        <w:rPr>
          <w:rFonts w:hint="eastAsia"/>
          <w:color w:val="auto"/>
          <w:lang w:val="en-US" w:eastAsia="zh-CN"/>
        </w:rPr>
        <w:t>陈</w:t>
      </w:r>
      <w:r>
        <w:rPr>
          <w:rFonts w:hint="eastAsia"/>
          <w:color w:val="auto"/>
        </w:rPr>
        <w:t>老师</w:t>
      </w:r>
      <w:r>
        <w:rPr>
          <w:rFonts w:hint="eastAsia"/>
          <w:color w:val="auto"/>
          <w:lang w:val="en-US" w:eastAsia="zh-CN"/>
        </w:rPr>
        <w:t>025-83291403</w:t>
      </w:r>
      <w:r>
        <w:rPr>
          <w:rFonts w:hint="eastAsia"/>
          <w:color w:val="auto"/>
        </w:rPr>
        <w:t>。</w:t>
      </w:r>
    </w:p>
    <w:p w14:paraId="75500CC6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00E098D"/>
    <w:rsid w:val="00177144"/>
    <w:rsid w:val="001B1E5D"/>
    <w:rsid w:val="00441D9D"/>
    <w:rsid w:val="00443938"/>
    <w:rsid w:val="0047219F"/>
    <w:rsid w:val="00495EDA"/>
    <w:rsid w:val="005A7327"/>
    <w:rsid w:val="005F0362"/>
    <w:rsid w:val="00632467"/>
    <w:rsid w:val="00664FF9"/>
    <w:rsid w:val="00706737"/>
    <w:rsid w:val="008F1DF0"/>
    <w:rsid w:val="00900877"/>
    <w:rsid w:val="00934863"/>
    <w:rsid w:val="00946192"/>
    <w:rsid w:val="00AD23D8"/>
    <w:rsid w:val="00BC02DE"/>
    <w:rsid w:val="00C55204"/>
    <w:rsid w:val="00D149C2"/>
    <w:rsid w:val="00D7586B"/>
    <w:rsid w:val="00E77752"/>
    <w:rsid w:val="00EA638B"/>
    <w:rsid w:val="00F166D9"/>
    <w:rsid w:val="00F519C9"/>
    <w:rsid w:val="00F85BD2"/>
    <w:rsid w:val="00F950A1"/>
    <w:rsid w:val="00FD2A47"/>
    <w:rsid w:val="030F4492"/>
    <w:rsid w:val="18B9619D"/>
    <w:rsid w:val="1F8D3BA5"/>
    <w:rsid w:val="267F6A2F"/>
    <w:rsid w:val="2725114A"/>
    <w:rsid w:val="297D4824"/>
    <w:rsid w:val="32A72670"/>
    <w:rsid w:val="35CA1011"/>
    <w:rsid w:val="3F4764F1"/>
    <w:rsid w:val="439C1036"/>
    <w:rsid w:val="466C691A"/>
    <w:rsid w:val="476242D5"/>
    <w:rsid w:val="488E6338"/>
    <w:rsid w:val="4B9E7988"/>
    <w:rsid w:val="52D23572"/>
    <w:rsid w:val="650E0752"/>
    <w:rsid w:val="65696C01"/>
    <w:rsid w:val="6B2A1F79"/>
    <w:rsid w:val="7EA7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360" w:lineRule="auto"/>
      <w:ind w:firstLine="420" w:firstLineChars="200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ind w:left="643" w:firstLine="0" w:firstLineChars="0"/>
      <w:jc w:val="center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"/>
    <w:basedOn w:val="1"/>
    <w:qFormat/>
    <w:uiPriority w:val="99"/>
    <w:rPr>
      <w:rFonts w:eastAsia="仿宋_GB2312"/>
      <w:sz w:val="32"/>
    </w:rPr>
  </w:style>
  <w:style w:type="paragraph" w:styleId="9">
    <w:name w:val="List Paragraph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1231</Words>
  <Characters>1248</Characters>
  <Lines>9</Lines>
  <Paragraphs>2</Paragraphs>
  <TotalTime>92</TotalTime>
  <ScaleCrop>false</ScaleCrop>
  <LinksUpToDate>false</LinksUpToDate>
  <CharactersWithSpaces>1248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rongrong</cp:lastModifiedBy>
  <dcterms:modified xsi:type="dcterms:W3CDTF">2026-04-10T01:17:29Z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EE0B64D3EFA24336A496C8F230B602C8_13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