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09C0A">
      <w:pPr>
        <w:ind w:firstLine="611" w:firstLineChars="200"/>
        <w:rPr>
          <w:rFonts w:hint="default" w:ascii="宋体" w:hAnsi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</w:rPr>
        <w:t>心身健康双模态评估干预系统</w:t>
      </w:r>
      <w:r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项目调研公告</w:t>
      </w:r>
    </w:p>
    <w:p w14:paraId="14B896A3">
      <w:pPr>
        <w:ind w:firstLine="420" w:firstLineChars="200"/>
        <w:rPr>
          <w:rFonts w:ascii="宋体" w:hAnsi="宋体" w:cs="宋体"/>
          <w:b/>
          <w:bCs/>
          <w:color w:val="000000"/>
          <w:spacing w:val="-8"/>
          <w:kern w:val="0"/>
          <w:sz w:val="32"/>
          <w:szCs w:val="32"/>
        </w:rPr>
      </w:pPr>
      <w:r>
        <w:rPr>
          <w:rFonts w:hint="eastAsia"/>
          <w:lang w:val="en-US" w:eastAsia="zh-CN"/>
        </w:rPr>
        <w:t>根据医院工作需要，现对我院</w:t>
      </w:r>
      <w:r>
        <w:rPr>
          <w:rFonts w:hint="eastAsia" w:ascii="Times New Roman" w:hAnsi="Times New Roman" w:eastAsia="宋体" w:cs="Times New Roman"/>
          <w:lang w:val="en-US" w:eastAsia="zh-CN"/>
        </w:rPr>
        <w:t>心身健康双模态评估干预系统项目</w:t>
      </w:r>
      <w:r>
        <w:rPr>
          <w:rFonts w:hint="eastAsia"/>
          <w:lang w:val="en-US" w:eastAsia="zh-CN"/>
        </w:rPr>
        <w:t>进行采购前的采购需求调查并征集供应商报价，欢迎合格的供应商前来响应，具体情况如下：</w:t>
      </w:r>
    </w:p>
    <w:p w14:paraId="7391371A">
      <w:pPr>
        <w:adjustRightInd w:val="0"/>
        <w:snapToGrid w:val="0"/>
        <w:spacing w:line="360" w:lineRule="auto"/>
        <w:jc w:val="both"/>
        <w:rPr>
          <w:rFonts w:hint="default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一、采购项目内容</w:t>
      </w:r>
    </w:p>
    <w:tbl>
      <w:tblPr>
        <w:tblStyle w:val="8"/>
        <w:tblW w:w="7199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908"/>
        <w:gridCol w:w="1503"/>
        <w:gridCol w:w="1897"/>
      </w:tblGrid>
      <w:tr w14:paraId="3816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91" w:type="dxa"/>
          </w:tcPr>
          <w:p w14:paraId="3C18D99F">
            <w:pPr>
              <w:spacing w:line="480" w:lineRule="auto"/>
              <w:ind w:firstLine="45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  <w:t>序号</w:t>
            </w:r>
          </w:p>
        </w:tc>
        <w:tc>
          <w:tcPr>
            <w:tcW w:w="2908" w:type="dxa"/>
          </w:tcPr>
          <w:p w14:paraId="20617F4E">
            <w:pPr>
              <w:spacing w:line="480" w:lineRule="auto"/>
              <w:ind w:firstLine="45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  <w:t>产品配置</w:t>
            </w:r>
          </w:p>
        </w:tc>
        <w:tc>
          <w:tcPr>
            <w:tcW w:w="1503" w:type="dxa"/>
          </w:tcPr>
          <w:p w14:paraId="575DA54E">
            <w:pPr>
              <w:spacing w:line="480" w:lineRule="auto"/>
              <w:ind w:firstLine="45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  <w:t>数量</w:t>
            </w:r>
          </w:p>
        </w:tc>
        <w:tc>
          <w:tcPr>
            <w:tcW w:w="1897" w:type="dxa"/>
          </w:tcPr>
          <w:p w14:paraId="71ED4FAF">
            <w:pPr>
              <w:spacing w:line="480" w:lineRule="auto"/>
              <w:ind w:firstLine="45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  <w:t>小计(元）</w:t>
            </w:r>
          </w:p>
        </w:tc>
      </w:tr>
      <w:tr w14:paraId="4EE3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 w14:paraId="60A375C4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79E9C25B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PEM-ANA心身健康双模态评估干预系统</w:t>
            </w:r>
          </w:p>
        </w:tc>
        <w:tc>
          <w:tcPr>
            <w:tcW w:w="1503" w:type="dxa"/>
            <w:vAlign w:val="center"/>
          </w:tcPr>
          <w:p w14:paraId="17D21B51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1套</w:t>
            </w:r>
          </w:p>
        </w:tc>
        <w:tc>
          <w:tcPr>
            <w:tcW w:w="1897" w:type="dxa"/>
            <w:vAlign w:val="center"/>
          </w:tcPr>
          <w:p w14:paraId="1A411C32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</w:p>
        </w:tc>
      </w:tr>
      <w:tr w14:paraId="2441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 w14:paraId="057A9803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4B264BD5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心身健康管理工作站</w:t>
            </w:r>
          </w:p>
        </w:tc>
        <w:tc>
          <w:tcPr>
            <w:tcW w:w="1503" w:type="dxa"/>
            <w:vAlign w:val="center"/>
          </w:tcPr>
          <w:p w14:paraId="173812AF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1台</w:t>
            </w:r>
          </w:p>
        </w:tc>
        <w:tc>
          <w:tcPr>
            <w:tcW w:w="1897" w:type="dxa"/>
            <w:vAlign w:val="center"/>
          </w:tcPr>
          <w:p w14:paraId="4CCB09BD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</w:p>
        </w:tc>
      </w:tr>
      <w:tr w14:paraId="3F4F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 w14:paraId="0104A6A3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2A796DCB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双模态评估与训练终端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含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便携式心电采集器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vAlign w:val="center"/>
          </w:tcPr>
          <w:p w14:paraId="0F75CF87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2台</w:t>
            </w:r>
          </w:p>
        </w:tc>
        <w:tc>
          <w:tcPr>
            <w:tcW w:w="1897" w:type="dxa"/>
            <w:vAlign w:val="center"/>
          </w:tcPr>
          <w:p w14:paraId="6B0F26C5">
            <w:pPr>
              <w:widowControl/>
              <w:adjustRightInd w:val="0"/>
              <w:snapToGrid w:val="0"/>
              <w:spacing w:line="480" w:lineRule="auto"/>
              <w:ind w:firstLine="480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</w:rPr>
            </w:pPr>
          </w:p>
        </w:tc>
      </w:tr>
    </w:tbl>
    <w:p w14:paraId="216219D6">
      <w:pPr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</w:rPr>
      </w:pPr>
    </w:p>
    <w:p w14:paraId="019D632C">
      <w:pPr>
        <w:adjustRightInd w:val="0"/>
        <w:snapToGrid w:val="0"/>
        <w:spacing w:line="360" w:lineRule="auto"/>
        <w:jc w:val="both"/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000000"/>
          <w:spacing w:val="-8"/>
          <w:kern w:val="0"/>
          <w:sz w:val="32"/>
          <w:szCs w:val="32"/>
        </w:rPr>
        <w:t>心身健康双模态评估干预系统技术参数</w:t>
      </w:r>
    </w:p>
    <w:p w14:paraId="49BB03CC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1、</w:t>
      </w:r>
      <w:r>
        <w:rPr>
          <w:rFonts w:hint="eastAsia" w:ascii="宋体" w:hAnsi="宋体" w:cs="宋体"/>
          <w:b/>
          <w:bCs/>
          <w:szCs w:val="21"/>
        </w:rPr>
        <w:t>医生工作管理系统</w:t>
      </w:r>
    </w:p>
    <w:p w14:paraId="4A5DA680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1.1、各科室（护理单元）拥有独立的管理权限，可审阅名下的用户报告，系统支持医生电子签名。</w:t>
      </w:r>
    </w:p>
    <w:p w14:paraId="05C94629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1.2、支持与院内的第三方管理信息系统进行信息对接，可以支持扫描快速登录。</w:t>
      </w:r>
    </w:p>
    <w:p w14:paraId="5D882CDD">
      <w:pPr>
        <w:adjustRightInd w:val="0"/>
        <w:snapToGrid w:val="0"/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2、心理档案管理系统</w:t>
      </w:r>
    </w:p>
    <w:p w14:paraId="4C2DF83F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2.1可进行</w:t>
      </w:r>
      <w:r>
        <w:rPr>
          <w:rFonts w:hint="eastAsia" w:ascii="宋体" w:hAnsi="宋体" w:cs="宋体"/>
          <w:bCs/>
          <w:szCs w:val="21"/>
          <w:lang w:eastAsia="zh-Hans"/>
        </w:rPr>
        <w:t>用户</w:t>
      </w:r>
      <w:r>
        <w:rPr>
          <w:rFonts w:hint="eastAsia" w:ascii="宋体" w:hAnsi="宋体" w:cs="宋体"/>
          <w:bCs/>
          <w:szCs w:val="21"/>
        </w:rPr>
        <w:t>档案的查询。支持对患者的测评数据、心理报告进行横向比对。</w:t>
      </w:r>
    </w:p>
    <w:p w14:paraId="1A995A30">
      <w:pPr>
        <w:adjustRightInd w:val="0"/>
        <w:snapToGrid w:val="0"/>
        <w:spacing w:line="360" w:lineRule="auto"/>
        <w:ind w:firstLine="480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2.2</w:t>
      </w:r>
      <w:r>
        <w:rPr>
          <w:rFonts w:hint="eastAsia" w:ascii="宋体" w:hAnsi="宋体"/>
          <w:bCs/>
          <w:szCs w:val="21"/>
        </w:rPr>
        <w:t>智能专家分析报告由</w:t>
      </w:r>
      <w:r>
        <w:rPr>
          <w:rFonts w:hint="eastAsia" w:ascii="宋体" w:hAnsi="宋体"/>
          <w:bCs/>
          <w:szCs w:val="21"/>
          <w:lang w:eastAsia="zh-Hans"/>
        </w:rPr>
        <w:t>用户</w:t>
      </w:r>
      <w:r>
        <w:rPr>
          <w:rFonts w:hint="eastAsia" w:ascii="宋体" w:hAnsi="宋体"/>
          <w:bCs/>
          <w:szCs w:val="21"/>
        </w:rPr>
        <w:t>个人信息、报告图表及分数、专家评语、专家建议四个模块构成，界面简洁，文字通俗易懂。</w:t>
      </w:r>
    </w:p>
    <w:p w14:paraId="082599FD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>2.3个人报告</w:t>
      </w:r>
      <w:r>
        <w:rPr>
          <w:rFonts w:hint="eastAsia" w:ascii="宋体" w:hAnsi="宋体" w:cs="宋体"/>
          <w:bCs/>
          <w:szCs w:val="21"/>
          <w:lang w:eastAsia="zh-Hans"/>
        </w:rPr>
        <w:t>和</w:t>
      </w:r>
      <w:r>
        <w:rPr>
          <w:rFonts w:hint="eastAsia" w:ascii="宋体" w:hAnsi="宋体" w:cs="宋体"/>
          <w:bCs/>
          <w:szCs w:val="21"/>
        </w:rPr>
        <w:t>档案</w:t>
      </w:r>
      <w:r>
        <w:rPr>
          <w:rFonts w:hint="eastAsia" w:ascii="宋体" w:hAnsi="宋体" w:cs="宋体"/>
          <w:bCs/>
          <w:szCs w:val="21"/>
          <w:lang w:eastAsia="zh-Hans"/>
        </w:rPr>
        <w:t>支持导出和下载</w:t>
      </w:r>
      <w:r>
        <w:rPr>
          <w:rFonts w:hint="eastAsia" w:ascii="宋体" w:hAnsi="宋体" w:cs="宋体"/>
          <w:bCs/>
          <w:szCs w:val="21"/>
        </w:rPr>
        <w:t>。</w:t>
      </w:r>
      <w:r>
        <w:rPr>
          <w:rFonts w:hint="eastAsia" w:ascii="宋体" w:hAnsi="宋体"/>
          <w:bCs/>
          <w:szCs w:val="21"/>
        </w:rPr>
        <w:t>个人</w:t>
      </w:r>
      <w:r>
        <w:rPr>
          <w:rFonts w:hint="eastAsia" w:ascii="宋体" w:hAnsi="宋体" w:cs="宋体"/>
          <w:bCs/>
          <w:szCs w:val="21"/>
        </w:rPr>
        <w:t>报告出具时间支持：即时、延时、</w:t>
      </w:r>
      <w:r>
        <w:rPr>
          <w:rFonts w:hint="eastAsia" w:ascii="宋体" w:hAnsi="宋体" w:cs="宋体"/>
          <w:bCs/>
          <w:szCs w:val="21"/>
          <w:lang w:eastAsia="zh-Hans"/>
        </w:rPr>
        <w:t>不可见</w:t>
      </w:r>
      <w:r>
        <w:rPr>
          <w:rFonts w:hint="eastAsia" w:ascii="宋体" w:hAnsi="宋体" w:cs="宋体"/>
          <w:bCs/>
          <w:szCs w:val="21"/>
        </w:rPr>
        <w:t>三</w:t>
      </w:r>
      <w:r>
        <w:rPr>
          <w:rFonts w:hint="eastAsia" w:ascii="宋体" w:hAnsi="宋体" w:cs="宋体"/>
          <w:bCs/>
          <w:szCs w:val="21"/>
          <w:lang w:eastAsia="zh-Hans"/>
        </w:rPr>
        <w:t>种方式</w:t>
      </w:r>
      <w:r>
        <w:rPr>
          <w:rFonts w:ascii="宋体" w:hAnsi="宋体" w:cs="宋体"/>
          <w:bCs/>
          <w:szCs w:val="21"/>
          <w:lang w:eastAsia="zh-Hans"/>
        </w:rPr>
        <w:t>。</w:t>
      </w:r>
      <w:r>
        <w:rPr>
          <w:rFonts w:hint="eastAsia" w:ascii="宋体" w:hAnsi="宋体" w:cs="宋体"/>
          <w:bCs/>
          <w:szCs w:val="21"/>
          <w:lang w:eastAsia="zh-Hans"/>
        </w:rPr>
        <w:t>报告支持审阅。</w:t>
      </w:r>
    </w:p>
    <w:p w14:paraId="59EFB29C">
      <w:pPr>
        <w:spacing w:line="360" w:lineRule="auto"/>
        <w:ind w:firstLine="200" w:firstLineChars="100"/>
        <w:rPr>
          <w:rFonts w:hint="eastAsia" w:ascii="宋体" w:hAnsi="宋体" w:cstheme="minorEastAsia"/>
          <w:bCs/>
          <w:sz w:val="20"/>
          <w:szCs w:val="20"/>
          <w:lang w:eastAsia="zh-Hans"/>
        </w:rPr>
      </w:pPr>
      <w:r>
        <w:rPr>
          <w:rFonts w:hint="eastAsia" w:ascii="宋体" w:hAnsi="宋体" w:cstheme="minorEastAsia"/>
          <w:bCs/>
          <w:sz w:val="20"/>
          <w:szCs w:val="20"/>
        </w:rPr>
        <w:t>▲</w:t>
      </w:r>
      <w:r>
        <w:rPr>
          <w:rFonts w:hint="eastAsia" w:ascii="宋体" w:hAnsi="宋体" w:cs="宋体"/>
          <w:bCs/>
          <w:szCs w:val="21"/>
        </w:rPr>
        <w:t xml:space="preserve"> 2.4支持生成心理健康与心率变异性双模态的评估综合报告，并可对其中的心理指标和生理指标进行单独打印，报告支持二维码个性化干预系统，可以进行手机扫码使用。</w:t>
      </w:r>
    </w:p>
    <w:p w14:paraId="4F9FC21E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3、风险评估预警系统</w:t>
      </w:r>
    </w:p>
    <w:p w14:paraId="3EE6D67C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3.1测评结束后系统</w:t>
      </w:r>
      <w:r>
        <w:rPr>
          <w:rFonts w:hint="eastAsia" w:ascii="宋体" w:hAnsi="宋体" w:cs="宋体"/>
          <w:bCs/>
          <w:szCs w:val="21"/>
          <w:lang w:eastAsia="zh-Hans"/>
        </w:rPr>
        <w:t>对</w:t>
      </w:r>
      <w:r>
        <w:rPr>
          <w:rFonts w:hint="eastAsia" w:ascii="宋体" w:hAnsi="宋体" w:cs="宋体"/>
          <w:bCs/>
          <w:szCs w:val="21"/>
        </w:rPr>
        <w:t>满足危机预警条件的测评者标记危机标识，并且将</w:t>
      </w:r>
      <w:r>
        <w:rPr>
          <w:rFonts w:hint="eastAsia" w:ascii="宋体" w:hAnsi="宋体" w:cs="宋体"/>
          <w:bCs/>
          <w:szCs w:val="21"/>
          <w:lang w:eastAsia="zh-Hans"/>
        </w:rPr>
        <w:t>对应</w:t>
      </w:r>
      <w:r>
        <w:rPr>
          <w:rFonts w:hint="eastAsia" w:ascii="宋体" w:hAnsi="宋体" w:cs="宋体"/>
          <w:bCs/>
          <w:szCs w:val="21"/>
        </w:rPr>
        <w:t>的测</w:t>
      </w:r>
      <w:r>
        <w:rPr>
          <w:rFonts w:hint="eastAsia" w:ascii="宋体" w:hAnsi="宋体" w:cs="宋体"/>
          <w:bCs/>
          <w:szCs w:val="21"/>
          <w:lang w:eastAsia="zh-Hans"/>
        </w:rPr>
        <w:t>评</w:t>
      </w:r>
      <w:r>
        <w:rPr>
          <w:rFonts w:hint="eastAsia" w:ascii="宋体" w:hAnsi="宋体" w:cs="宋体"/>
          <w:bCs/>
          <w:szCs w:val="21"/>
        </w:rPr>
        <w:t>项及因子也标记上预警标识。管理员可对存在预警标识的测评者</w:t>
      </w:r>
      <w:r>
        <w:rPr>
          <w:rFonts w:hint="eastAsia" w:ascii="宋体" w:hAnsi="宋体" w:cs="宋体"/>
          <w:bCs/>
          <w:szCs w:val="21"/>
          <w:lang w:eastAsia="zh-Hans"/>
        </w:rPr>
        <w:t>记录关注信息和采取相关</w:t>
      </w:r>
      <w:r>
        <w:rPr>
          <w:rFonts w:hint="eastAsia" w:ascii="宋体" w:hAnsi="宋体" w:cs="宋体"/>
          <w:bCs/>
          <w:szCs w:val="21"/>
        </w:rPr>
        <w:t>干预措施。</w:t>
      </w:r>
    </w:p>
    <w:p w14:paraId="38BF27D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▲3.2 </w:t>
      </w:r>
      <w:r>
        <w:rPr>
          <w:rFonts w:hint="eastAsia" w:ascii="宋体" w:hAnsi="宋体" w:cs="宋体"/>
          <w:bCs/>
          <w:szCs w:val="21"/>
        </w:rPr>
        <w:t>管理员可</w:t>
      </w:r>
      <w:r>
        <w:rPr>
          <w:rFonts w:hint="eastAsia" w:ascii="宋体" w:hAnsi="宋体" w:cs="宋体"/>
          <w:bCs/>
          <w:szCs w:val="21"/>
          <w:lang w:eastAsia="zh-Hans"/>
        </w:rPr>
        <w:t>对各量表</w:t>
      </w:r>
      <w:r>
        <w:rPr>
          <w:rFonts w:hint="eastAsia" w:ascii="宋体" w:hAnsi="宋体" w:cs="宋体"/>
          <w:bCs/>
          <w:szCs w:val="21"/>
        </w:rPr>
        <w:t>预警标准进行</w:t>
      </w:r>
      <w:r>
        <w:rPr>
          <w:rFonts w:hint="eastAsia" w:ascii="宋体" w:hAnsi="宋体" w:cs="宋体"/>
          <w:bCs/>
          <w:szCs w:val="21"/>
          <w:lang w:eastAsia="zh-Hans"/>
        </w:rPr>
        <w:t>合理范围内</w:t>
      </w:r>
      <w:r>
        <w:rPr>
          <w:rFonts w:hint="eastAsia" w:ascii="宋体" w:hAnsi="宋体" w:cs="宋体"/>
          <w:bCs/>
          <w:szCs w:val="21"/>
        </w:rPr>
        <w:t xml:space="preserve">的手动调整。 </w:t>
      </w:r>
    </w:p>
    <w:p w14:paraId="1801AB6F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4、心理测评应用系统</w:t>
      </w:r>
    </w:p>
    <w:p w14:paraId="131A7674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4.1</w:t>
      </w:r>
      <w:r>
        <w:rPr>
          <w:rFonts w:hint="eastAsia" w:ascii="宋体" w:hAnsi="宋体" w:cs="宋体"/>
          <w:bCs/>
          <w:color w:val="auto"/>
          <w:szCs w:val="21"/>
          <w:highlight w:val="none"/>
          <w:lang w:eastAsia="zh-Hans"/>
        </w:rPr>
        <w:t>系统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提供不少于1</w:t>
      </w:r>
      <w:r>
        <w:rPr>
          <w:rFonts w:ascii="宋体" w:hAnsi="宋体" w:cs="宋体"/>
          <w:bCs/>
          <w:color w:val="auto"/>
          <w:szCs w:val="21"/>
          <w:highlight w:val="none"/>
        </w:rPr>
        <w:t>0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0个心理测评量表。需包括儿童心理保健相关量表、儿童心智行为相关评估量表及家长心理健康、家庭功能等相关评估量表（需包含Yale-Brown强迫症严重程度标准量表、耶鲁综合抽动严重程度量表（YGTSS）、家庭环境量表中文版（FES-CV）、子女教育心理控制源量表（PLOC）、标准瑞文智力测验（SPM）、青少年生活事件量表（ASLEC）、儿童多动症调查问卷、儿童孤独感量表（CLS）、儿童感觉统合能力发展评定量表、儿童控制知觉多维度测查表（MMCPC）、儿童社交焦虑量表(SASC)、儿童学习适应性调查表、Conners多动症父母和教师简明量表</w:t>
      </w:r>
    </w:p>
    <w:p w14:paraId="793EEB4C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>4.2支持</w:t>
      </w:r>
      <w:r>
        <w:rPr>
          <w:rFonts w:hint="eastAsia" w:ascii="宋体" w:hAnsi="宋体" w:cs="宋体"/>
          <w:bCs/>
          <w:color w:val="auto"/>
          <w:szCs w:val="21"/>
          <w:highlight w:val="none"/>
          <w:lang w:eastAsia="zh-Hans"/>
        </w:rPr>
        <w:t>文字类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量表的</w:t>
      </w:r>
      <w:r>
        <w:rPr>
          <w:rFonts w:hint="eastAsia" w:ascii="宋体" w:hAnsi="宋体" w:cs="宋体"/>
          <w:bCs/>
          <w:color w:val="auto"/>
          <w:szCs w:val="21"/>
          <w:highlight w:val="none"/>
          <w:lang w:eastAsia="zh-Hans"/>
        </w:rPr>
        <w:t>语音读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题，答题过程中支持智能断点保存。</w:t>
      </w:r>
    </w:p>
    <w:p w14:paraId="2C972C15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>4.3 所有量表按照评定者分为自评、家长评和医生评三类。支持自定义儿童心智行为评估套餐，可根据测评者不同年龄段或不同测评目的，将系统中的量表分为不同的测评套餐，在分配测评项时可使用不同的测评套餐。</w:t>
      </w:r>
    </w:p>
    <w:p w14:paraId="13080006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</w:p>
    <w:p w14:paraId="7DD5B46C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5、心身自主神经双模态评估系统</w:t>
      </w:r>
    </w:p>
    <w:p w14:paraId="0A779025">
      <w:pPr>
        <w:pStyle w:val="12"/>
        <w:adjustRightInd w:val="0"/>
        <w:snapToGrid w:val="0"/>
        <w:spacing w:line="360" w:lineRule="auto"/>
        <w:ind w:firstLine="0" w:firstLineChars="0"/>
        <w:textAlignment w:val="center"/>
        <w:rPr>
          <w:rFonts w:hint="eastAsia" w:ascii="宋体" w:hAnsi="宋体" w:cs="宋体"/>
          <w:bCs/>
          <w:szCs w:val="20"/>
        </w:rPr>
      </w:pPr>
      <w:r>
        <w:rPr>
          <w:rFonts w:hint="eastAsia"/>
          <w:szCs w:val="20"/>
        </w:rPr>
        <w:t xml:space="preserve">    </w:t>
      </w:r>
      <w:r>
        <w:rPr>
          <w:rFonts w:hint="eastAsia" w:ascii="宋体" w:hAnsi="宋体"/>
          <w:bCs/>
          <w:szCs w:val="21"/>
        </w:rPr>
        <w:t>▲</w:t>
      </w:r>
      <w:r>
        <w:rPr>
          <w:rFonts w:hint="eastAsia" w:ascii="宋体" w:hAnsi="宋体" w:cs="宋体"/>
          <w:bCs/>
          <w:szCs w:val="20"/>
        </w:rPr>
        <w:t>三分钟全数字化定量检测：P</w:t>
      </w:r>
      <w:r>
        <w:rPr>
          <w:rFonts w:ascii="宋体" w:hAnsi="宋体" w:cs="宋体"/>
          <w:bCs/>
          <w:szCs w:val="20"/>
        </w:rPr>
        <w:t>FT</w:t>
      </w:r>
      <w:r>
        <w:rPr>
          <w:rFonts w:hint="eastAsia" w:ascii="宋体" w:hAnsi="宋体" w:cs="宋体"/>
          <w:bCs/>
          <w:szCs w:val="20"/>
        </w:rPr>
        <w:t>、PRU、BUP、ANS、EMS、BPS自主神经6项核心指标，另包括心率、HRV（心率变异）、PNN50等，全面、准确、直观反映受试者的客观心身健康状态。</w:t>
      </w:r>
    </w:p>
    <w:p w14:paraId="27E18720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6、心理自主神经干预促进系统</w:t>
      </w:r>
    </w:p>
    <w:p w14:paraId="1209AC7F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/>
          <w:bCs/>
          <w:szCs w:val="21"/>
        </w:rPr>
        <w:t>▲</w:t>
      </w:r>
      <w:r>
        <w:rPr>
          <w:rFonts w:hint="eastAsia" w:ascii="宋体" w:hAnsi="宋体" w:cs="宋体"/>
          <w:bCs/>
          <w:szCs w:val="21"/>
        </w:rPr>
        <w:t xml:space="preserve">6.1 </w:t>
      </w:r>
      <w:r>
        <w:rPr>
          <w:rFonts w:hint="eastAsia" w:ascii="宋体" w:hAnsi="宋体" w:cs="宋体"/>
          <w:bCs/>
          <w:szCs w:val="21"/>
          <w:lang w:eastAsia="zh-Hans"/>
        </w:rPr>
        <w:t>用户</w:t>
      </w:r>
      <w:r>
        <w:rPr>
          <w:rFonts w:hint="eastAsia" w:ascii="宋体" w:hAnsi="宋体" w:cs="宋体"/>
          <w:bCs/>
          <w:szCs w:val="21"/>
        </w:rPr>
        <w:t>完成心理评估后，平台会根据评估结果，</w:t>
      </w:r>
      <w:r>
        <w:rPr>
          <w:rFonts w:hint="eastAsia" w:ascii="宋体" w:hAnsi="宋体" w:cs="宋体"/>
          <w:bCs/>
          <w:szCs w:val="21"/>
          <w:lang w:eastAsia="zh-Hans"/>
        </w:rPr>
        <w:t>匹配评估结果</w:t>
      </w:r>
      <w:r>
        <w:rPr>
          <w:rFonts w:hint="eastAsia" w:ascii="宋体" w:hAnsi="宋体" w:cs="宋体"/>
          <w:bCs/>
          <w:szCs w:val="21"/>
        </w:rPr>
        <w:t>的心理</w:t>
      </w:r>
      <w:r>
        <w:rPr>
          <w:rFonts w:hint="eastAsia" w:ascii="宋体" w:hAnsi="宋体" w:cs="宋体"/>
          <w:bCs/>
          <w:szCs w:val="21"/>
          <w:lang w:eastAsia="zh-Hans"/>
        </w:rPr>
        <w:t>个性化</w:t>
      </w:r>
      <w:r>
        <w:rPr>
          <w:rFonts w:hint="eastAsia" w:ascii="宋体" w:hAnsi="宋体" w:cs="宋体"/>
          <w:bCs/>
          <w:szCs w:val="21"/>
        </w:rPr>
        <w:t>干预训练及心理健康促进方案。</w:t>
      </w:r>
    </w:p>
    <w:p w14:paraId="182B3DC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6.2</w:t>
      </w:r>
      <w:r>
        <w:rPr>
          <w:rFonts w:hint="eastAsia" w:ascii="宋体" w:hAnsi="宋体" w:cs="宋体"/>
          <w:szCs w:val="21"/>
        </w:rPr>
        <w:t>方案包括：</w:t>
      </w:r>
      <w:r>
        <w:rPr>
          <w:rFonts w:hint="eastAsia" w:ascii="宋体" w:hAnsi="宋体" w:cs="宋体"/>
          <w:bCs/>
          <w:szCs w:val="21"/>
        </w:rPr>
        <w:t>心理动漫干预不少于30个、音乐干预治疗不少于50个、心理视频干预不少于30个、心理电子期刊不少于80期、心理干预治疗游戏不少于20个，以上均支持每年动态免费升级，并提供升级明细。</w:t>
      </w:r>
    </w:p>
    <w:p w14:paraId="6FE1D2D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6.3对不同的心理问题，提供有针对性的个性化的干预套餐10个以上（其中需包括抗压抗挫、远离抑郁、不再焦虑、危机干预、社会适应、积极心态、睡眠障碍、放松减压、情绪训练、MUS干预等功能包）。</w:t>
      </w:r>
    </w:p>
    <w:p w14:paraId="5350AA4B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7、中医体质辨识与促进系统</w:t>
      </w:r>
    </w:p>
    <w:p w14:paraId="58A1DD21">
      <w:pPr>
        <w:adjustRightInd w:val="0"/>
        <w:snapToGrid w:val="0"/>
        <w:spacing w:line="360" w:lineRule="auto"/>
        <w:ind w:firstLine="480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7.1系统需使用国家标准用于中医体质分类与判定的量表,</w:t>
      </w:r>
      <w:r>
        <w:rPr>
          <w:rFonts w:hint="eastAsia" w:ascii="宋体" w:hAnsi="宋体"/>
          <w:bCs/>
          <w:szCs w:val="21"/>
        </w:rPr>
        <w:t>支持量表的动态升级。</w:t>
      </w:r>
    </w:p>
    <w:p w14:paraId="54AD2BAE">
      <w:pPr>
        <w:adjustRightInd w:val="0"/>
        <w:snapToGrid w:val="0"/>
        <w:spacing w:line="360" w:lineRule="auto"/>
        <w:ind w:firstLine="48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/>
          <w:bCs/>
          <w:szCs w:val="21"/>
        </w:rPr>
        <w:t>7.2</w:t>
      </w:r>
      <w:r>
        <w:rPr>
          <w:rFonts w:hint="eastAsia" w:ascii="宋体" w:hAnsi="宋体" w:cs="宋体"/>
          <w:bCs/>
          <w:szCs w:val="21"/>
        </w:rPr>
        <w:t>中医体质有9种基本类型，针对不同中医体质类型，提供有针对性的运动起居方法、精神调适方法；提供有针对性的调养音乐（每种体质不少于</w:t>
      </w:r>
      <w:r>
        <w:rPr>
          <w:rFonts w:ascii="宋体" w:hAnsi="宋体" w:cs="宋体"/>
          <w:bCs/>
          <w:szCs w:val="21"/>
        </w:rPr>
        <w:t>3</w:t>
      </w:r>
      <w:r>
        <w:rPr>
          <w:rFonts w:hint="eastAsia" w:ascii="宋体" w:hAnsi="宋体" w:cs="宋体"/>
          <w:bCs/>
          <w:szCs w:val="21"/>
        </w:rPr>
        <w:t>个）、太极养生方法视频（每种体质不少于4个）。</w:t>
      </w:r>
    </w:p>
    <w:p w14:paraId="1271933F">
      <w:p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8、儿童</w:t>
      </w:r>
      <w:r>
        <w:rPr>
          <w:rFonts w:ascii="宋体" w:hAnsi="宋体" w:cs="宋体"/>
          <w:b/>
          <w:szCs w:val="21"/>
        </w:rPr>
        <w:t>脑认知能力训练系统</w:t>
      </w:r>
    </w:p>
    <w:p w14:paraId="4D65FFE9">
      <w:pPr>
        <w:adjustRightInd w:val="0"/>
        <w:snapToGrid w:val="0"/>
        <w:spacing w:line="360" w:lineRule="auto"/>
        <w:ind w:firstLine="420"/>
        <w:rPr>
          <w:rFonts w:hint="eastAsia" w:ascii="宋体" w:hAnsi="宋体" w:cstheme="minorEastAsia"/>
          <w:bCs/>
          <w:szCs w:val="21"/>
        </w:rPr>
      </w:pPr>
      <w:r>
        <w:rPr>
          <w:rFonts w:hint="eastAsia" w:ascii="宋体" w:hAnsi="宋体" w:cstheme="minorEastAsia"/>
          <w:bCs/>
          <w:szCs w:val="21"/>
        </w:rPr>
        <w:t>▲包含注意力、记忆、知觉速度、思维灵活性等脑认知各维度的训练干预不少于10个。其中</w:t>
      </w:r>
      <w:r>
        <w:rPr>
          <w:rFonts w:ascii="宋体" w:hAnsi="宋体" w:cstheme="minorEastAsia"/>
          <w:bCs/>
          <w:szCs w:val="21"/>
        </w:rPr>
        <w:t>注意力训练包括舒尔特方格、黑红数字表、视觉追踪等任务训练；记忆训练包括记忆围棋、记忆匹配；空间知觉包含：空间定向动态能力评估、感觉运动协调能力评估等；执行功能包含：认知灵活性能力评估、反馈校正评估、数字-符号转换测验等。</w:t>
      </w:r>
    </w:p>
    <w:p w14:paraId="3E7BD196">
      <w:pPr>
        <w:adjustRightInd w:val="0"/>
        <w:snapToGrid w:val="0"/>
        <w:spacing w:line="360" w:lineRule="auto"/>
        <w:rPr>
          <w:b/>
          <w:szCs w:val="21"/>
        </w:rPr>
      </w:pPr>
      <w:r>
        <w:rPr>
          <w:rFonts w:hint="eastAsia" w:ascii="宋体" w:hAnsi="宋体" w:cs="宋体"/>
          <w:b/>
          <w:szCs w:val="21"/>
        </w:rPr>
        <w:t>9、</w:t>
      </w:r>
      <w:r>
        <w:rPr>
          <w:rFonts w:hint="eastAsia"/>
          <w:b/>
          <w:szCs w:val="21"/>
        </w:rPr>
        <w:t>数字医学训练系统</w:t>
      </w:r>
    </w:p>
    <w:p w14:paraId="2F24335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9.1以正念理论和技巧为核心，通过沉浸视听引导使用者提升认知，激发自己内在的身心力量以应对各类情绪问题及躯体不适。提供渐进式、体系化的训练课程，包含基础的观呼吸与觉察、放下对思绪的控制、感恩当下、应对压力与焦虑、善待他人和自己、应对躯体不适、管理情绪、放松意识激发潜能等内容。</w:t>
      </w:r>
    </w:p>
    <w:p w14:paraId="1AD1A3BD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bCs/>
          <w:szCs w:val="21"/>
        </w:rPr>
        <w:t>9.2</w:t>
      </w:r>
      <w:r>
        <w:rPr>
          <w:rFonts w:hint="eastAsia" w:ascii="宋体" w:hAnsi="宋体"/>
          <w:kern w:val="0"/>
          <w:szCs w:val="21"/>
        </w:rPr>
        <w:t>通过模式化呼吸训练，产生心理情绪与自主神经平衡效应，达到各种亚健康、慢病治疗效果（包含：清心呼吸训练、放松呼吸训练、平静呼吸训练、能量呼吸训练、和谐呼吸训练、减压呼吸训练等）。</w:t>
      </w:r>
    </w:p>
    <w:p w14:paraId="7783400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bCs/>
          <w:szCs w:val="21"/>
        </w:rPr>
        <w:t xml:space="preserve">▲ </w:t>
      </w:r>
      <w:r>
        <w:rPr>
          <w:rFonts w:hint="eastAsia" w:ascii="宋体" w:hAnsi="宋体"/>
          <w:kern w:val="0"/>
          <w:szCs w:val="21"/>
        </w:rPr>
        <w:t>9.3 通过情绪逆转冥想激发正向记忆与神经内分泌网络，产生正性情绪分子，改变大脑结构与功能，改善认知与情绪。包含：静观情绪、空静寂乐、由恨生爱、遇怒生喜、自愈康复冥想）。</w:t>
      </w:r>
    </w:p>
    <w:p w14:paraId="28D9862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9.4利用特定震动频率，来调整人体自身对应频率，使其达到和谐的共振，从而疗愈和放松。包含9个自然频率的训练课程和5个双耳节拍训练课程。能够分别实现助眠、放松、压力缓解、认知提升、敏锐觉察、改善情绪、缓解疼痛、修复细胞和激发灵性、净化负能量等功能。</w:t>
      </w:r>
    </w:p>
    <w:p w14:paraId="7006F488">
      <w:pPr>
        <w:adjustRightInd w:val="0"/>
        <w:snapToGrid w:val="0"/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10、双模态评估与训练终端 </w:t>
      </w:r>
    </w:p>
    <w:p w14:paraId="6CB1A188">
      <w:pPr>
        <w:spacing w:line="360" w:lineRule="auto"/>
        <w:ind w:firstLine="420"/>
        <w:rPr>
          <w:rFonts w:hint="eastAsia"/>
          <w:szCs w:val="21"/>
        </w:rPr>
      </w:pPr>
      <w:r>
        <w:rPr>
          <w:rFonts w:hint="eastAsia"/>
          <w:szCs w:val="21"/>
        </w:rPr>
        <w:t>触摸屏：电阻式，压力感应，液晶屏；对比度：1000:1；触摸次数：&gt;3500万次；响应时间：5ms；显示尺寸：13英寸及以上；分辨率：1024×768及以上；操作系统：Android 7.0及以上；集成双向评估采集模块，可实现软硬件智能衔接。</w:t>
      </w:r>
    </w:p>
    <w:p w14:paraId="0BA081BD">
      <w:pPr>
        <w:pStyle w:val="12"/>
        <w:adjustRightInd w:val="0"/>
        <w:snapToGrid w:val="0"/>
        <w:spacing w:line="360" w:lineRule="auto"/>
        <w:ind w:firstLine="0" w:firstLineChars="0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>11、便携式心电采集器</w:t>
      </w:r>
    </w:p>
    <w:p w14:paraId="183B969B">
      <w:pPr>
        <w:widowControl/>
        <w:spacing w:line="360" w:lineRule="auto"/>
        <w:rPr>
          <w:rFonts w:hint="eastAsia"/>
          <w:szCs w:val="21"/>
        </w:rPr>
      </w:pPr>
      <w:r>
        <w:rPr>
          <w:rFonts w:hint="eastAsia" w:ascii="宋体" w:hAnsi="宋体"/>
          <w:bCs/>
          <w:szCs w:val="21"/>
        </w:rPr>
        <w:t xml:space="preserve">▲ </w:t>
      </w:r>
      <w:r>
        <w:rPr>
          <w:rFonts w:hint="eastAsia"/>
          <w:szCs w:val="21"/>
        </w:rPr>
        <w:t>输入动态范围：输入动态范围10mV，误差小于等于10%；输入阻抗：≥10MΩ；共模抑制：≥60dB；增益精确度：±10%；增益稳定性：1min内不超过3%；频率响应:0.67Hz～40Hz之间;在5Hz时响应幅度的140%与70%之间（+3.0dB～-3dB）；</w:t>
      </w:r>
    </w:p>
    <w:p w14:paraId="71951DE2">
      <w:pPr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三、商务要求</w:t>
      </w:r>
    </w:p>
    <w:p w14:paraId="0A90201E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支持需要投标人在项目验收合格后免费技术支持1年，调研方所提供的产品应在供应实施当地（市级）设立技术支持和售后服务机构，并有足够的人员来保证技术支持和售后服务。须提供7*24小时的技术支持和免费的上门维护升级服务。</w:t>
      </w:r>
    </w:p>
    <w:p w14:paraId="2CF69E55">
      <w:pPr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四、项目实施要求</w:t>
      </w:r>
    </w:p>
    <w:p w14:paraId="10170E2A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项目实施时间：签订合同之日起30个工作日内。</w:t>
      </w:r>
    </w:p>
    <w:p w14:paraId="668C888A">
      <w:pPr>
        <w:adjustRightInd w:val="0"/>
        <w:snapToGrid w:val="0"/>
        <w:spacing w:line="360" w:lineRule="auto"/>
        <w:jc w:val="both"/>
        <w:rPr>
          <w:rFonts w:hint="default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8"/>
          <w:kern w:val="0"/>
          <w:sz w:val="32"/>
          <w:szCs w:val="32"/>
          <w:lang w:val="en-US" w:eastAsia="zh-CN"/>
        </w:rPr>
        <w:t>五、现场调研</w:t>
      </w:r>
    </w:p>
    <w:p w14:paraId="496E8E93">
      <w:pPr>
        <w:numPr>
          <w:ilvl w:val="0"/>
          <w:numId w:val="0"/>
        </w:numPr>
        <w:ind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项目具体情况请查看现场，联系电话：唐工 13222777718。</w:t>
      </w:r>
    </w:p>
    <w:p w14:paraId="0C524F97">
      <w:pPr>
        <w:pStyle w:val="2"/>
      </w:pPr>
    </w:p>
    <w:p w14:paraId="6F254CE3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6E9"/>
    <w:rsid w:val="000218A2"/>
    <w:rsid w:val="000376E9"/>
    <w:rsid w:val="000963CE"/>
    <w:rsid w:val="000F6C87"/>
    <w:rsid w:val="001074C6"/>
    <w:rsid w:val="00115D5F"/>
    <w:rsid w:val="001172FC"/>
    <w:rsid w:val="001434E8"/>
    <w:rsid w:val="001A1F4C"/>
    <w:rsid w:val="001A36F8"/>
    <w:rsid w:val="001B407D"/>
    <w:rsid w:val="001C4B66"/>
    <w:rsid w:val="001E73B5"/>
    <w:rsid w:val="002079BE"/>
    <w:rsid w:val="0029133A"/>
    <w:rsid w:val="0033176B"/>
    <w:rsid w:val="003642CF"/>
    <w:rsid w:val="003656B6"/>
    <w:rsid w:val="003714E5"/>
    <w:rsid w:val="00371E98"/>
    <w:rsid w:val="00375FA4"/>
    <w:rsid w:val="003D7E7F"/>
    <w:rsid w:val="00422016"/>
    <w:rsid w:val="004B4B9E"/>
    <w:rsid w:val="004C25C1"/>
    <w:rsid w:val="004D51A5"/>
    <w:rsid w:val="004E4CED"/>
    <w:rsid w:val="004F11DD"/>
    <w:rsid w:val="004F5BAF"/>
    <w:rsid w:val="005115BB"/>
    <w:rsid w:val="00523C69"/>
    <w:rsid w:val="00557A1E"/>
    <w:rsid w:val="00580645"/>
    <w:rsid w:val="005B1D62"/>
    <w:rsid w:val="005B1F1F"/>
    <w:rsid w:val="005B3898"/>
    <w:rsid w:val="005D67CA"/>
    <w:rsid w:val="005E1C8D"/>
    <w:rsid w:val="005E533A"/>
    <w:rsid w:val="006172C5"/>
    <w:rsid w:val="00624E61"/>
    <w:rsid w:val="006326E0"/>
    <w:rsid w:val="00633FE0"/>
    <w:rsid w:val="00676CBA"/>
    <w:rsid w:val="00683529"/>
    <w:rsid w:val="0068601D"/>
    <w:rsid w:val="006C098D"/>
    <w:rsid w:val="006C5303"/>
    <w:rsid w:val="00701905"/>
    <w:rsid w:val="00702D22"/>
    <w:rsid w:val="00706D92"/>
    <w:rsid w:val="00713D05"/>
    <w:rsid w:val="00742659"/>
    <w:rsid w:val="00744B5C"/>
    <w:rsid w:val="0075137B"/>
    <w:rsid w:val="00752256"/>
    <w:rsid w:val="007A6849"/>
    <w:rsid w:val="00856794"/>
    <w:rsid w:val="00875E96"/>
    <w:rsid w:val="008A0AF3"/>
    <w:rsid w:val="008C0AF3"/>
    <w:rsid w:val="008F0062"/>
    <w:rsid w:val="009004E1"/>
    <w:rsid w:val="00913D46"/>
    <w:rsid w:val="009310D0"/>
    <w:rsid w:val="00964AC1"/>
    <w:rsid w:val="009655AD"/>
    <w:rsid w:val="00972BAD"/>
    <w:rsid w:val="0099199D"/>
    <w:rsid w:val="009C671C"/>
    <w:rsid w:val="00A23462"/>
    <w:rsid w:val="00A658E7"/>
    <w:rsid w:val="00A751A6"/>
    <w:rsid w:val="00A76913"/>
    <w:rsid w:val="00AF0444"/>
    <w:rsid w:val="00B34506"/>
    <w:rsid w:val="00B424C1"/>
    <w:rsid w:val="00B91CAE"/>
    <w:rsid w:val="00BD4340"/>
    <w:rsid w:val="00BF642F"/>
    <w:rsid w:val="00C15CEA"/>
    <w:rsid w:val="00C36334"/>
    <w:rsid w:val="00C40DCD"/>
    <w:rsid w:val="00C521ED"/>
    <w:rsid w:val="00CA0AED"/>
    <w:rsid w:val="00CB2644"/>
    <w:rsid w:val="00CC18F5"/>
    <w:rsid w:val="00CE23FC"/>
    <w:rsid w:val="00D11D81"/>
    <w:rsid w:val="00D81382"/>
    <w:rsid w:val="00D82631"/>
    <w:rsid w:val="00D87114"/>
    <w:rsid w:val="00D87F35"/>
    <w:rsid w:val="00D90C90"/>
    <w:rsid w:val="00DD04B3"/>
    <w:rsid w:val="00DF42C3"/>
    <w:rsid w:val="00DF7383"/>
    <w:rsid w:val="00E402C5"/>
    <w:rsid w:val="00E85705"/>
    <w:rsid w:val="00EA02FD"/>
    <w:rsid w:val="00ED1755"/>
    <w:rsid w:val="00F008D3"/>
    <w:rsid w:val="00F00D62"/>
    <w:rsid w:val="00F57199"/>
    <w:rsid w:val="00FA00E5"/>
    <w:rsid w:val="00FE620E"/>
    <w:rsid w:val="01AC55F7"/>
    <w:rsid w:val="07527C11"/>
    <w:rsid w:val="4F533414"/>
    <w:rsid w:val="5B331E4E"/>
    <w:rsid w:val="62D4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link w:val="13"/>
    <w:qFormat/>
    <w:uiPriority w:val="0"/>
  </w:style>
  <w:style w:type="paragraph" w:styleId="4">
    <w:name w:val="Body Text First Indent"/>
    <w:basedOn w:val="3"/>
    <w:link w:val="14"/>
    <w:semiHidden/>
    <w:unhideWhenUsed/>
    <w:uiPriority w:val="99"/>
    <w:pPr>
      <w:spacing w:after="120"/>
      <w:ind w:firstLine="420" w:firstLineChars="10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正文文本 字符"/>
    <w:basedOn w:val="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4">
    <w:name w:val="正文文本首行缩进 字符"/>
    <w:basedOn w:val="13"/>
    <w:link w:val="4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2417</Words>
  <Characters>2618</Characters>
  <Lines>17</Lines>
  <Paragraphs>5</Paragraphs>
  <TotalTime>1</TotalTime>
  <ScaleCrop>false</ScaleCrop>
  <LinksUpToDate>false</LinksUpToDate>
  <CharactersWithSpaces>2633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2024-06-13T09:13:00Z</dcterms:created>
  <dc:creator>Pang changshuo</dc:creator>
  <cp:lastModifiedBy>rongrong</cp:lastModifiedBy>
  <dcterms:modified xsi:type="dcterms:W3CDTF">2026-04-01T07:27:19Z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eyJoZGlkIjoiYTEzMTZkZGIxZjA1MWMzMjExNzRiZjdkODUzMmU4NDAiLCJ1c2VySWQiOiIyNTA4MDQ2NTUifQ==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104D6FE9CCAB4A2B8ED3D67148A38F9D_13</vt:lpwstr>
  </property>
</Properties>
</file>