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7355F">
      <w:pPr>
        <w:pStyle w:val="4"/>
        <w:bidi w:val="0"/>
        <w:jc w:val="center"/>
      </w:pPr>
      <w:bookmarkStart w:id="0" w:name="_Toc14541"/>
      <w:r>
        <w:rPr>
          <w:rFonts w:hint="eastAsia"/>
        </w:rPr>
        <w:t>停车</w:t>
      </w:r>
      <w:r>
        <w:rPr>
          <w:rFonts w:hint="eastAsia"/>
          <w:lang w:eastAsia="zh-CN"/>
        </w:rPr>
        <w:t>道闸设备与收费</w:t>
      </w:r>
      <w:r>
        <w:rPr>
          <w:rFonts w:hint="eastAsia"/>
        </w:rPr>
        <w:t>系统技术要求</w:t>
      </w:r>
      <w:bookmarkEnd w:id="0"/>
    </w:p>
    <w:p w14:paraId="00187DB7">
      <w:pPr>
        <w:rPr>
          <w:rFonts w:hint="eastAsia" w:ascii="宋体" w:hAnsi="宋体"/>
          <w:b/>
          <w:sz w:val="28"/>
          <w:szCs w:val="28"/>
        </w:rPr>
      </w:pPr>
      <w:r>
        <w:rPr>
          <w:rFonts w:hint="eastAsia" w:ascii="宋体" w:hAnsi="宋体"/>
          <w:b/>
          <w:sz w:val="28"/>
          <w:szCs w:val="28"/>
          <w:lang w:eastAsia="zh-CN"/>
        </w:rPr>
        <w:t>一、</w:t>
      </w:r>
      <w:r>
        <w:rPr>
          <w:rFonts w:hint="eastAsia" w:ascii="宋体" w:hAnsi="宋体"/>
          <w:b/>
          <w:sz w:val="28"/>
          <w:szCs w:val="28"/>
        </w:rPr>
        <w:t>招标内容</w:t>
      </w:r>
    </w:p>
    <w:tbl>
      <w:tblPr>
        <w:tblStyle w:val="7"/>
        <w:tblW w:w="8980" w:type="dxa"/>
        <w:tblInd w:w="0" w:type="dxa"/>
        <w:tblLayout w:type="autofit"/>
        <w:tblCellMar>
          <w:top w:w="0" w:type="dxa"/>
          <w:left w:w="108" w:type="dxa"/>
          <w:bottom w:w="0" w:type="dxa"/>
          <w:right w:w="108" w:type="dxa"/>
        </w:tblCellMar>
      </w:tblPr>
      <w:tblGrid>
        <w:gridCol w:w="1300"/>
        <w:gridCol w:w="1300"/>
        <w:gridCol w:w="2500"/>
        <w:gridCol w:w="2580"/>
        <w:gridCol w:w="1300"/>
      </w:tblGrid>
      <w:tr w14:paraId="7468CB1F">
        <w:tblPrEx>
          <w:tblCellMar>
            <w:top w:w="0" w:type="dxa"/>
            <w:left w:w="108" w:type="dxa"/>
            <w:bottom w:w="0" w:type="dxa"/>
            <w:right w:w="108" w:type="dxa"/>
          </w:tblCellMar>
        </w:tblPrEx>
        <w:trPr>
          <w:trHeight w:val="340" w:hRule="atLeast"/>
        </w:trPr>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21F81">
            <w:pPr>
              <w:widowControl/>
              <w:jc w:val="center"/>
              <w:rPr>
                <w:rFonts w:ascii="DengXian" w:hAnsi="DengXian" w:eastAsia="DengXian" w:cs="宋体"/>
                <w:color w:val="000000"/>
                <w:kern w:val="0"/>
                <w:sz w:val="24"/>
              </w:rPr>
            </w:pPr>
            <w:r>
              <w:rPr>
                <w:rFonts w:hint="eastAsia" w:ascii="DengXian" w:hAnsi="DengXian" w:eastAsia="DengXian" w:cs="宋体"/>
                <w:color w:val="000000"/>
                <w:kern w:val="0"/>
                <w:sz w:val="24"/>
              </w:rPr>
              <w:t>序号</w:t>
            </w:r>
          </w:p>
        </w:tc>
        <w:tc>
          <w:tcPr>
            <w:tcW w:w="1300" w:type="dxa"/>
            <w:tcBorders>
              <w:top w:val="single" w:color="auto" w:sz="4" w:space="0"/>
              <w:left w:val="nil"/>
              <w:bottom w:val="single" w:color="auto" w:sz="4" w:space="0"/>
              <w:right w:val="single" w:color="auto" w:sz="4" w:space="0"/>
            </w:tcBorders>
            <w:shd w:val="clear" w:color="auto" w:fill="auto"/>
            <w:noWrap/>
            <w:vAlign w:val="center"/>
          </w:tcPr>
          <w:p w14:paraId="37035965">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名称</w:t>
            </w:r>
          </w:p>
        </w:tc>
        <w:tc>
          <w:tcPr>
            <w:tcW w:w="2500" w:type="dxa"/>
            <w:tcBorders>
              <w:top w:val="single" w:color="auto" w:sz="4" w:space="0"/>
              <w:left w:val="nil"/>
              <w:bottom w:val="single" w:color="auto" w:sz="4" w:space="0"/>
              <w:right w:val="single" w:color="auto" w:sz="4" w:space="0"/>
            </w:tcBorders>
            <w:shd w:val="clear" w:color="auto" w:fill="auto"/>
            <w:noWrap/>
            <w:vAlign w:val="center"/>
          </w:tcPr>
          <w:p w14:paraId="3C5A0EF9">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子条目</w:t>
            </w:r>
          </w:p>
        </w:tc>
        <w:tc>
          <w:tcPr>
            <w:tcW w:w="2580" w:type="dxa"/>
            <w:tcBorders>
              <w:top w:val="single" w:color="auto" w:sz="4" w:space="0"/>
              <w:left w:val="nil"/>
              <w:bottom w:val="single" w:color="auto" w:sz="4" w:space="0"/>
              <w:right w:val="single" w:color="auto" w:sz="4" w:space="0"/>
            </w:tcBorders>
            <w:shd w:val="clear" w:color="auto" w:fill="auto"/>
            <w:vAlign w:val="center"/>
          </w:tcPr>
          <w:p w14:paraId="40977B43">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位置</w:t>
            </w:r>
          </w:p>
        </w:tc>
        <w:tc>
          <w:tcPr>
            <w:tcW w:w="1300" w:type="dxa"/>
            <w:tcBorders>
              <w:top w:val="single" w:color="auto" w:sz="4" w:space="0"/>
              <w:left w:val="nil"/>
              <w:bottom w:val="single" w:color="auto" w:sz="4" w:space="0"/>
              <w:right w:val="single" w:color="auto" w:sz="4" w:space="0"/>
            </w:tcBorders>
            <w:shd w:val="clear" w:color="auto" w:fill="auto"/>
            <w:noWrap/>
            <w:vAlign w:val="center"/>
          </w:tcPr>
          <w:p w14:paraId="2C1DF643">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数量</w:t>
            </w:r>
          </w:p>
        </w:tc>
      </w:tr>
      <w:tr w14:paraId="483A614B">
        <w:tblPrEx>
          <w:tblCellMar>
            <w:top w:w="0" w:type="dxa"/>
            <w:left w:w="108" w:type="dxa"/>
            <w:bottom w:w="0" w:type="dxa"/>
            <w:right w:w="108" w:type="dxa"/>
          </w:tblCellMar>
        </w:tblPrEx>
        <w:trPr>
          <w:trHeight w:val="340" w:hRule="atLeast"/>
        </w:trPr>
        <w:tc>
          <w:tcPr>
            <w:tcW w:w="1300" w:type="dxa"/>
            <w:tcBorders>
              <w:top w:val="nil"/>
              <w:left w:val="single" w:color="auto" w:sz="4" w:space="0"/>
              <w:bottom w:val="single" w:color="auto" w:sz="4" w:space="0"/>
              <w:right w:val="single" w:color="auto" w:sz="4" w:space="0"/>
            </w:tcBorders>
            <w:shd w:val="clear" w:color="auto" w:fill="auto"/>
            <w:noWrap/>
            <w:vAlign w:val="center"/>
          </w:tcPr>
          <w:p w14:paraId="66C82C31">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1</w:t>
            </w:r>
          </w:p>
        </w:tc>
        <w:tc>
          <w:tcPr>
            <w:tcW w:w="1300" w:type="dxa"/>
            <w:vMerge w:val="restart"/>
            <w:tcBorders>
              <w:top w:val="nil"/>
              <w:left w:val="single" w:color="auto" w:sz="4" w:space="0"/>
              <w:bottom w:val="single" w:color="auto" w:sz="4" w:space="0"/>
              <w:right w:val="single" w:color="auto" w:sz="4" w:space="0"/>
            </w:tcBorders>
            <w:shd w:val="clear" w:color="auto" w:fill="auto"/>
            <w:vAlign w:val="center"/>
          </w:tcPr>
          <w:p w14:paraId="69BA2133">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停车系统升级改造</w:t>
            </w:r>
          </w:p>
        </w:tc>
        <w:tc>
          <w:tcPr>
            <w:tcW w:w="2500" w:type="dxa"/>
            <w:tcBorders>
              <w:top w:val="nil"/>
              <w:left w:val="nil"/>
              <w:bottom w:val="single" w:color="auto" w:sz="4" w:space="0"/>
              <w:right w:val="single" w:color="auto" w:sz="4" w:space="0"/>
            </w:tcBorders>
            <w:shd w:val="clear" w:color="auto" w:fill="auto"/>
            <w:noWrap/>
            <w:vAlign w:val="center"/>
          </w:tcPr>
          <w:p w14:paraId="458177B0">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车牌识别进口控制机</w:t>
            </w:r>
          </w:p>
        </w:tc>
        <w:tc>
          <w:tcPr>
            <w:tcW w:w="2580" w:type="dxa"/>
            <w:tcBorders>
              <w:top w:val="nil"/>
              <w:left w:val="nil"/>
              <w:bottom w:val="single" w:color="auto" w:sz="4" w:space="0"/>
              <w:right w:val="single" w:color="auto" w:sz="4" w:space="0"/>
            </w:tcBorders>
            <w:shd w:val="clear" w:color="auto" w:fill="auto"/>
            <w:vAlign w:val="center"/>
          </w:tcPr>
          <w:p w14:paraId="5CE7BEC4">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医院正大门</w:t>
            </w:r>
          </w:p>
        </w:tc>
        <w:tc>
          <w:tcPr>
            <w:tcW w:w="1300" w:type="dxa"/>
            <w:tcBorders>
              <w:top w:val="nil"/>
              <w:left w:val="nil"/>
              <w:bottom w:val="single" w:color="auto" w:sz="4" w:space="0"/>
              <w:right w:val="single" w:color="auto" w:sz="4" w:space="0"/>
            </w:tcBorders>
            <w:shd w:val="clear" w:color="auto" w:fill="auto"/>
            <w:noWrap/>
            <w:vAlign w:val="center"/>
          </w:tcPr>
          <w:p w14:paraId="078D45AD">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2</w:t>
            </w:r>
          </w:p>
        </w:tc>
      </w:tr>
      <w:tr w14:paraId="367044EA">
        <w:tblPrEx>
          <w:tblCellMar>
            <w:top w:w="0" w:type="dxa"/>
            <w:left w:w="108" w:type="dxa"/>
            <w:bottom w:w="0" w:type="dxa"/>
            <w:right w:w="108" w:type="dxa"/>
          </w:tblCellMar>
        </w:tblPrEx>
        <w:trPr>
          <w:trHeight w:val="340" w:hRule="atLeast"/>
        </w:trPr>
        <w:tc>
          <w:tcPr>
            <w:tcW w:w="1300" w:type="dxa"/>
            <w:tcBorders>
              <w:top w:val="nil"/>
              <w:left w:val="single" w:color="auto" w:sz="4" w:space="0"/>
              <w:bottom w:val="single" w:color="auto" w:sz="4" w:space="0"/>
              <w:right w:val="single" w:color="auto" w:sz="4" w:space="0"/>
            </w:tcBorders>
            <w:shd w:val="clear" w:color="auto" w:fill="auto"/>
            <w:noWrap/>
            <w:vAlign w:val="center"/>
          </w:tcPr>
          <w:p w14:paraId="14CB0660">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2</w:t>
            </w:r>
          </w:p>
        </w:tc>
        <w:tc>
          <w:tcPr>
            <w:tcW w:w="1300" w:type="dxa"/>
            <w:vMerge w:val="continue"/>
            <w:tcBorders>
              <w:top w:val="nil"/>
              <w:left w:val="single" w:color="auto" w:sz="4" w:space="0"/>
              <w:bottom w:val="single" w:color="auto" w:sz="4" w:space="0"/>
              <w:right w:val="single" w:color="auto" w:sz="4" w:space="0"/>
            </w:tcBorders>
            <w:vAlign w:val="center"/>
          </w:tcPr>
          <w:p w14:paraId="42B08E8D">
            <w:pPr>
              <w:widowControl/>
              <w:jc w:val="left"/>
              <w:rPr>
                <w:rFonts w:ascii="DengXian" w:hAnsi="DengXian" w:eastAsia="DengXian" w:cs="宋体"/>
                <w:color w:val="000000"/>
                <w:kern w:val="0"/>
                <w:sz w:val="24"/>
              </w:rPr>
            </w:pPr>
          </w:p>
        </w:tc>
        <w:tc>
          <w:tcPr>
            <w:tcW w:w="2500" w:type="dxa"/>
            <w:tcBorders>
              <w:top w:val="nil"/>
              <w:left w:val="nil"/>
              <w:bottom w:val="single" w:color="auto" w:sz="4" w:space="0"/>
              <w:right w:val="single" w:color="auto" w:sz="4" w:space="0"/>
            </w:tcBorders>
            <w:shd w:val="clear" w:color="auto" w:fill="auto"/>
            <w:noWrap/>
            <w:vAlign w:val="center"/>
          </w:tcPr>
          <w:p w14:paraId="49287B42">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车牌识别出口控制机</w:t>
            </w:r>
          </w:p>
        </w:tc>
        <w:tc>
          <w:tcPr>
            <w:tcW w:w="2580" w:type="dxa"/>
            <w:tcBorders>
              <w:top w:val="nil"/>
              <w:left w:val="nil"/>
              <w:bottom w:val="single" w:color="auto" w:sz="4" w:space="0"/>
              <w:right w:val="single" w:color="auto" w:sz="4" w:space="0"/>
            </w:tcBorders>
            <w:shd w:val="clear" w:color="auto" w:fill="auto"/>
            <w:vAlign w:val="center"/>
          </w:tcPr>
          <w:p w14:paraId="4E389445">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医院正大门</w:t>
            </w:r>
          </w:p>
        </w:tc>
        <w:tc>
          <w:tcPr>
            <w:tcW w:w="1300" w:type="dxa"/>
            <w:tcBorders>
              <w:top w:val="nil"/>
              <w:left w:val="nil"/>
              <w:bottom w:val="single" w:color="auto" w:sz="4" w:space="0"/>
              <w:right w:val="single" w:color="auto" w:sz="4" w:space="0"/>
            </w:tcBorders>
            <w:shd w:val="clear" w:color="auto" w:fill="auto"/>
            <w:noWrap/>
            <w:vAlign w:val="center"/>
          </w:tcPr>
          <w:p w14:paraId="2F05DB43">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2</w:t>
            </w:r>
          </w:p>
        </w:tc>
      </w:tr>
      <w:tr w14:paraId="378C70E5">
        <w:tblPrEx>
          <w:tblCellMar>
            <w:top w:w="0" w:type="dxa"/>
            <w:left w:w="108" w:type="dxa"/>
            <w:bottom w:w="0" w:type="dxa"/>
            <w:right w:w="108" w:type="dxa"/>
          </w:tblCellMar>
        </w:tblPrEx>
        <w:trPr>
          <w:trHeight w:val="340" w:hRule="atLeast"/>
        </w:trPr>
        <w:tc>
          <w:tcPr>
            <w:tcW w:w="1300" w:type="dxa"/>
            <w:tcBorders>
              <w:top w:val="nil"/>
              <w:left w:val="single" w:color="auto" w:sz="4" w:space="0"/>
              <w:bottom w:val="single" w:color="auto" w:sz="4" w:space="0"/>
              <w:right w:val="single" w:color="auto" w:sz="4" w:space="0"/>
            </w:tcBorders>
            <w:shd w:val="clear" w:color="auto" w:fill="auto"/>
            <w:noWrap/>
            <w:vAlign w:val="center"/>
          </w:tcPr>
          <w:p w14:paraId="6C876755">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3</w:t>
            </w:r>
          </w:p>
        </w:tc>
        <w:tc>
          <w:tcPr>
            <w:tcW w:w="1300" w:type="dxa"/>
            <w:vMerge w:val="continue"/>
            <w:tcBorders>
              <w:top w:val="nil"/>
              <w:left w:val="single" w:color="auto" w:sz="4" w:space="0"/>
              <w:bottom w:val="single" w:color="auto" w:sz="4" w:space="0"/>
              <w:right w:val="single" w:color="auto" w:sz="4" w:space="0"/>
            </w:tcBorders>
            <w:vAlign w:val="center"/>
          </w:tcPr>
          <w:p w14:paraId="7C27CE28">
            <w:pPr>
              <w:widowControl/>
              <w:jc w:val="left"/>
              <w:rPr>
                <w:rFonts w:ascii="DengXian" w:hAnsi="DengXian" w:eastAsia="DengXian" w:cs="宋体"/>
                <w:color w:val="000000"/>
                <w:kern w:val="0"/>
                <w:sz w:val="24"/>
              </w:rPr>
            </w:pPr>
          </w:p>
        </w:tc>
        <w:tc>
          <w:tcPr>
            <w:tcW w:w="2500" w:type="dxa"/>
            <w:tcBorders>
              <w:top w:val="nil"/>
              <w:left w:val="nil"/>
              <w:bottom w:val="single" w:color="auto" w:sz="4" w:space="0"/>
              <w:right w:val="single" w:color="auto" w:sz="4" w:space="0"/>
            </w:tcBorders>
            <w:shd w:val="clear" w:color="auto" w:fill="auto"/>
            <w:noWrap/>
            <w:vAlign w:val="center"/>
          </w:tcPr>
          <w:p w14:paraId="5C16C5D5">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车牌识别一体机</w:t>
            </w:r>
          </w:p>
        </w:tc>
        <w:tc>
          <w:tcPr>
            <w:tcW w:w="2580" w:type="dxa"/>
            <w:tcBorders>
              <w:top w:val="nil"/>
              <w:left w:val="nil"/>
              <w:bottom w:val="single" w:color="auto" w:sz="4" w:space="0"/>
              <w:right w:val="single" w:color="auto" w:sz="4" w:space="0"/>
            </w:tcBorders>
            <w:shd w:val="clear" w:color="auto" w:fill="auto"/>
            <w:vAlign w:val="center"/>
          </w:tcPr>
          <w:p w14:paraId="401573F3">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康复中心</w:t>
            </w:r>
          </w:p>
        </w:tc>
        <w:tc>
          <w:tcPr>
            <w:tcW w:w="1300" w:type="dxa"/>
            <w:tcBorders>
              <w:top w:val="nil"/>
              <w:left w:val="nil"/>
              <w:bottom w:val="single" w:color="auto" w:sz="4" w:space="0"/>
              <w:right w:val="single" w:color="auto" w:sz="4" w:space="0"/>
            </w:tcBorders>
            <w:shd w:val="clear" w:color="auto" w:fill="auto"/>
            <w:noWrap/>
            <w:vAlign w:val="center"/>
          </w:tcPr>
          <w:p w14:paraId="5FC21EFD">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2</w:t>
            </w:r>
          </w:p>
        </w:tc>
      </w:tr>
      <w:tr w14:paraId="1CB238FB">
        <w:tblPrEx>
          <w:tblCellMar>
            <w:top w:w="0" w:type="dxa"/>
            <w:left w:w="108" w:type="dxa"/>
            <w:bottom w:w="0" w:type="dxa"/>
            <w:right w:w="108" w:type="dxa"/>
          </w:tblCellMar>
        </w:tblPrEx>
        <w:trPr>
          <w:trHeight w:val="340" w:hRule="atLeast"/>
        </w:trPr>
        <w:tc>
          <w:tcPr>
            <w:tcW w:w="1300" w:type="dxa"/>
            <w:tcBorders>
              <w:top w:val="nil"/>
              <w:left w:val="single" w:color="auto" w:sz="4" w:space="0"/>
              <w:bottom w:val="single" w:color="auto" w:sz="4" w:space="0"/>
              <w:right w:val="single" w:color="auto" w:sz="4" w:space="0"/>
            </w:tcBorders>
            <w:shd w:val="clear" w:color="auto" w:fill="auto"/>
            <w:noWrap/>
            <w:vAlign w:val="center"/>
          </w:tcPr>
          <w:p w14:paraId="7CBB41EC">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4</w:t>
            </w:r>
          </w:p>
        </w:tc>
        <w:tc>
          <w:tcPr>
            <w:tcW w:w="1300" w:type="dxa"/>
            <w:vMerge w:val="continue"/>
            <w:tcBorders>
              <w:top w:val="nil"/>
              <w:left w:val="single" w:color="auto" w:sz="4" w:space="0"/>
              <w:bottom w:val="single" w:color="auto" w:sz="4" w:space="0"/>
              <w:right w:val="single" w:color="auto" w:sz="4" w:space="0"/>
            </w:tcBorders>
            <w:vAlign w:val="center"/>
          </w:tcPr>
          <w:p w14:paraId="5223C9E1">
            <w:pPr>
              <w:widowControl/>
              <w:jc w:val="left"/>
              <w:rPr>
                <w:rFonts w:ascii="DengXian" w:hAnsi="DengXian" w:eastAsia="DengXian" w:cs="宋体"/>
                <w:color w:val="000000"/>
                <w:kern w:val="0"/>
                <w:sz w:val="24"/>
              </w:rPr>
            </w:pPr>
          </w:p>
        </w:tc>
        <w:tc>
          <w:tcPr>
            <w:tcW w:w="2500" w:type="dxa"/>
            <w:tcBorders>
              <w:top w:val="nil"/>
              <w:left w:val="nil"/>
              <w:bottom w:val="single" w:color="auto" w:sz="4" w:space="0"/>
              <w:right w:val="single" w:color="auto" w:sz="4" w:space="0"/>
            </w:tcBorders>
            <w:shd w:val="clear" w:color="auto" w:fill="auto"/>
            <w:noWrap/>
            <w:vAlign w:val="center"/>
          </w:tcPr>
          <w:p w14:paraId="4EEF1BD6">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道闸（含雷达）</w:t>
            </w:r>
          </w:p>
        </w:tc>
        <w:tc>
          <w:tcPr>
            <w:tcW w:w="2580" w:type="dxa"/>
            <w:tcBorders>
              <w:top w:val="nil"/>
              <w:left w:val="nil"/>
              <w:bottom w:val="single" w:color="auto" w:sz="4" w:space="0"/>
              <w:right w:val="single" w:color="auto" w:sz="4" w:space="0"/>
            </w:tcBorders>
            <w:shd w:val="clear" w:color="auto" w:fill="auto"/>
            <w:vAlign w:val="center"/>
          </w:tcPr>
          <w:p w14:paraId="0C31F294">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医院正大门、康复中心</w:t>
            </w:r>
          </w:p>
        </w:tc>
        <w:tc>
          <w:tcPr>
            <w:tcW w:w="1300" w:type="dxa"/>
            <w:tcBorders>
              <w:top w:val="nil"/>
              <w:left w:val="nil"/>
              <w:bottom w:val="single" w:color="auto" w:sz="4" w:space="0"/>
              <w:right w:val="single" w:color="auto" w:sz="4" w:space="0"/>
            </w:tcBorders>
            <w:shd w:val="clear" w:color="auto" w:fill="auto"/>
            <w:noWrap/>
            <w:vAlign w:val="center"/>
          </w:tcPr>
          <w:p w14:paraId="79B248C2">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6</w:t>
            </w:r>
          </w:p>
        </w:tc>
      </w:tr>
      <w:tr w14:paraId="53C96EAE">
        <w:tblPrEx>
          <w:tblCellMar>
            <w:top w:w="0" w:type="dxa"/>
            <w:left w:w="108" w:type="dxa"/>
            <w:bottom w:w="0" w:type="dxa"/>
            <w:right w:w="108" w:type="dxa"/>
          </w:tblCellMar>
        </w:tblPrEx>
        <w:trPr>
          <w:trHeight w:val="340" w:hRule="atLeast"/>
        </w:trPr>
        <w:tc>
          <w:tcPr>
            <w:tcW w:w="1300" w:type="dxa"/>
            <w:tcBorders>
              <w:top w:val="nil"/>
              <w:left w:val="single" w:color="auto" w:sz="4" w:space="0"/>
              <w:bottom w:val="single" w:color="auto" w:sz="4" w:space="0"/>
              <w:right w:val="single" w:color="auto" w:sz="4" w:space="0"/>
            </w:tcBorders>
            <w:shd w:val="clear" w:color="auto" w:fill="auto"/>
            <w:noWrap/>
            <w:vAlign w:val="center"/>
          </w:tcPr>
          <w:p w14:paraId="52260A9D">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5</w:t>
            </w:r>
          </w:p>
        </w:tc>
        <w:tc>
          <w:tcPr>
            <w:tcW w:w="1300" w:type="dxa"/>
            <w:vMerge w:val="continue"/>
            <w:tcBorders>
              <w:top w:val="nil"/>
              <w:left w:val="single" w:color="auto" w:sz="4" w:space="0"/>
              <w:bottom w:val="single" w:color="auto" w:sz="4" w:space="0"/>
              <w:right w:val="single" w:color="auto" w:sz="4" w:space="0"/>
            </w:tcBorders>
            <w:vAlign w:val="center"/>
          </w:tcPr>
          <w:p w14:paraId="28330A6E">
            <w:pPr>
              <w:widowControl/>
              <w:jc w:val="left"/>
              <w:rPr>
                <w:rFonts w:ascii="DengXian" w:hAnsi="DengXian" w:eastAsia="DengXian" w:cs="宋体"/>
                <w:color w:val="000000"/>
                <w:kern w:val="0"/>
                <w:sz w:val="24"/>
              </w:rPr>
            </w:pPr>
          </w:p>
        </w:tc>
        <w:tc>
          <w:tcPr>
            <w:tcW w:w="2500" w:type="dxa"/>
            <w:tcBorders>
              <w:top w:val="nil"/>
              <w:left w:val="nil"/>
              <w:bottom w:val="single" w:color="auto" w:sz="4" w:space="0"/>
              <w:right w:val="single" w:color="auto" w:sz="4" w:space="0"/>
            </w:tcBorders>
            <w:shd w:val="clear" w:color="auto" w:fill="auto"/>
            <w:noWrap/>
            <w:vAlign w:val="center"/>
          </w:tcPr>
          <w:p w14:paraId="35F975F7">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车牌识别辅助摄像机</w:t>
            </w:r>
          </w:p>
        </w:tc>
        <w:tc>
          <w:tcPr>
            <w:tcW w:w="2580" w:type="dxa"/>
            <w:tcBorders>
              <w:top w:val="nil"/>
              <w:left w:val="nil"/>
              <w:bottom w:val="single" w:color="auto" w:sz="4" w:space="0"/>
              <w:right w:val="single" w:color="auto" w:sz="4" w:space="0"/>
            </w:tcBorders>
            <w:shd w:val="clear" w:color="auto" w:fill="auto"/>
            <w:vAlign w:val="center"/>
          </w:tcPr>
          <w:p w14:paraId="4294FB54">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医院正大门、康复中心</w:t>
            </w:r>
          </w:p>
        </w:tc>
        <w:tc>
          <w:tcPr>
            <w:tcW w:w="1300" w:type="dxa"/>
            <w:tcBorders>
              <w:top w:val="nil"/>
              <w:left w:val="nil"/>
              <w:bottom w:val="single" w:color="auto" w:sz="4" w:space="0"/>
              <w:right w:val="single" w:color="auto" w:sz="4" w:space="0"/>
            </w:tcBorders>
            <w:shd w:val="clear" w:color="auto" w:fill="auto"/>
            <w:noWrap/>
            <w:vAlign w:val="center"/>
          </w:tcPr>
          <w:p w14:paraId="537383D9">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10</w:t>
            </w:r>
          </w:p>
        </w:tc>
      </w:tr>
      <w:tr w14:paraId="429F365E">
        <w:tblPrEx>
          <w:tblCellMar>
            <w:top w:w="0" w:type="dxa"/>
            <w:left w:w="108" w:type="dxa"/>
            <w:bottom w:w="0" w:type="dxa"/>
            <w:right w:w="108" w:type="dxa"/>
          </w:tblCellMar>
        </w:tblPrEx>
        <w:trPr>
          <w:trHeight w:val="340" w:hRule="atLeast"/>
        </w:trPr>
        <w:tc>
          <w:tcPr>
            <w:tcW w:w="1300" w:type="dxa"/>
            <w:tcBorders>
              <w:top w:val="nil"/>
              <w:left w:val="single" w:color="auto" w:sz="4" w:space="0"/>
              <w:bottom w:val="single" w:color="auto" w:sz="4" w:space="0"/>
              <w:right w:val="single" w:color="auto" w:sz="4" w:space="0"/>
            </w:tcBorders>
            <w:shd w:val="clear" w:color="auto" w:fill="auto"/>
            <w:noWrap/>
            <w:vAlign w:val="center"/>
          </w:tcPr>
          <w:p w14:paraId="5186C019">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6</w:t>
            </w:r>
          </w:p>
        </w:tc>
        <w:tc>
          <w:tcPr>
            <w:tcW w:w="1300" w:type="dxa"/>
            <w:vMerge w:val="continue"/>
            <w:tcBorders>
              <w:top w:val="nil"/>
              <w:left w:val="single" w:color="auto" w:sz="4" w:space="0"/>
              <w:bottom w:val="single" w:color="auto" w:sz="4" w:space="0"/>
              <w:right w:val="single" w:color="auto" w:sz="4" w:space="0"/>
            </w:tcBorders>
            <w:vAlign w:val="center"/>
          </w:tcPr>
          <w:p w14:paraId="159E9AD3">
            <w:pPr>
              <w:widowControl/>
              <w:jc w:val="left"/>
              <w:rPr>
                <w:rFonts w:ascii="DengXian" w:hAnsi="DengXian" w:eastAsia="DengXian" w:cs="宋体"/>
                <w:color w:val="000000"/>
                <w:kern w:val="0"/>
                <w:sz w:val="24"/>
              </w:rPr>
            </w:pPr>
          </w:p>
        </w:tc>
        <w:tc>
          <w:tcPr>
            <w:tcW w:w="2500" w:type="dxa"/>
            <w:tcBorders>
              <w:top w:val="nil"/>
              <w:left w:val="nil"/>
              <w:bottom w:val="single" w:color="auto" w:sz="4" w:space="0"/>
              <w:right w:val="single" w:color="auto" w:sz="4" w:space="0"/>
            </w:tcBorders>
            <w:shd w:val="clear" w:color="auto" w:fill="auto"/>
            <w:noWrap/>
            <w:vAlign w:val="center"/>
          </w:tcPr>
          <w:p w14:paraId="3487750D">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停车软件系统</w:t>
            </w:r>
          </w:p>
        </w:tc>
        <w:tc>
          <w:tcPr>
            <w:tcW w:w="2580" w:type="dxa"/>
            <w:tcBorders>
              <w:top w:val="nil"/>
              <w:left w:val="nil"/>
              <w:bottom w:val="single" w:color="auto" w:sz="4" w:space="0"/>
              <w:right w:val="single" w:color="auto" w:sz="4" w:space="0"/>
            </w:tcBorders>
            <w:shd w:val="clear" w:color="auto" w:fill="auto"/>
            <w:vAlign w:val="center"/>
          </w:tcPr>
          <w:p w14:paraId="10F914EC">
            <w:pPr>
              <w:widowControl/>
              <w:jc w:val="center"/>
              <w:rPr>
                <w:rFonts w:hint="eastAsia" w:ascii="DengXian" w:hAnsi="DengXian" w:eastAsia="DengXian" w:cs="宋体"/>
                <w:color w:val="000000"/>
                <w:kern w:val="0"/>
                <w:sz w:val="24"/>
              </w:rPr>
            </w:pPr>
            <w:r>
              <w:rPr>
                <w:rFonts w:hint="eastAsia" w:ascii="DengXian" w:hAnsi="DengXian" w:eastAsia="DengXian" w:cs="宋体"/>
                <w:color w:val="000000"/>
                <w:kern w:val="0"/>
                <w:sz w:val="24"/>
              </w:rPr>
              <w:t>医院正大门、康复中心</w:t>
            </w:r>
          </w:p>
        </w:tc>
        <w:tc>
          <w:tcPr>
            <w:tcW w:w="1300" w:type="dxa"/>
            <w:tcBorders>
              <w:top w:val="nil"/>
              <w:left w:val="nil"/>
              <w:bottom w:val="single" w:color="auto" w:sz="4" w:space="0"/>
              <w:right w:val="single" w:color="auto" w:sz="4" w:space="0"/>
            </w:tcBorders>
            <w:shd w:val="clear" w:color="auto" w:fill="auto"/>
            <w:noWrap/>
            <w:vAlign w:val="center"/>
          </w:tcPr>
          <w:p w14:paraId="5F0077CC">
            <w:pPr>
              <w:widowControl/>
              <w:jc w:val="center"/>
              <w:rPr>
                <w:rFonts w:hint="eastAsia" w:ascii="DengXian" w:hAnsi="DengXian" w:eastAsia="DengXian" w:cs="宋体"/>
                <w:color w:val="000000"/>
                <w:kern w:val="0"/>
                <w:sz w:val="24"/>
                <w:lang w:eastAsia="zh-CN"/>
              </w:rPr>
            </w:pPr>
            <w:r>
              <w:rPr>
                <w:rFonts w:hint="eastAsia" w:ascii="DengXian" w:hAnsi="DengXian" w:eastAsia="DengXian" w:cs="宋体"/>
                <w:color w:val="000000"/>
                <w:kern w:val="0"/>
                <w:sz w:val="24"/>
                <w:lang w:val="en-US" w:eastAsia="zh-CN"/>
              </w:rPr>
              <w:t>1</w:t>
            </w:r>
          </w:p>
        </w:tc>
      </w:tr>
    </w:tbl>
    <w:p w14:paraId="5402AB14">
      <w:pPr>
        <w:rPr>
          <w:rFonts w:hint="eastAsia" w:ascii="宋体" w:hAnsi="宋体"/>
          <w:b/>
          <w:sz w:val="28"/>
          <w:szCs w:val="28"/>
          <w:lang w:val="en-US" w:eastAsia="zh-CN"/>
        </w:rPr>
      </w:pPr>
      <w:bookmarkStart w:id="1" w:name="_Toc534633679"/>
      <w:r>
        <w:rPr>
          <w:rFonts w:hint="eastAsia" w:ascii="宋体" w:hAnsi="宋体"/>
          <w:b/>
          <w:sz w:val="28"/>
          <w:szCs w:val="28"/>
          <w:lang w:val="en-US" w:eastAsia="zh-CN"/>
        </w:rPr>
        <w:t>二、具体要求</w:t>
      </w:r>
    </w:p>
    <w:p w14:paraId="1D84E229">
      <w:pPr>
        <w:numPr>
          <w:ilvl w:val="0"/>
          <w:numId w:val="0"/>
        </w:numPr>
        <w:spacing w:line="360" w:lineRule="auto"/>
        <w:rPr>
          <w:rFonts w:hint="eastAsia" w:ascii="宋体" w:hAnsi="宋体"/>
          <w:b/>
          <w:bCs w:val="0"/>
          <w:sz w:val="24"/>
          <w:szCs w:val="24"/>
        </w:rPr>
      </w:pPr>
      <w:r>
        <w:rPr>
          <w:rFonts w:hint="eastAsia" w:ascii="宋体" w:hAnsi="宋体"/>
          <w:b/>
          <w:bCs w:val="0"/>
          <w:sz w:val="24"/>
          <w:szCs w:val="24"/>
          <w:lang w:val="en-US" w:eastAsia="zh-CN"/>
        </w:rPr>
        <w:t>（一）</w:t>
      </w:r>
      <w:r>
        <w:rPr>
          <w:rFonts w:hint="eastAsia" w:ascii="宋体" w:hAnsi="宋体"/>
          <w:b/>
          <w:bCs w:val="0"/>
          <w:sz w:val="24"/>
          <w:szCs w:val="24"/>
        </w:rPr>
        <w:t>出入口车牌识别控制机：</w:t>
      </w:r>
    </w:p>
    <w:p w14:paraId="6DEEBB20">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存储容量：记录存储支持不低于5万条事件，抓拍照片：支持不低于500张，用户存储容量：支持不低于20万条</w:t>
      </w:r>
      <w:r>
        <w:rPr>
          <w:rFonts w:hint="eastAsia" w:ascii="宋体" w:hAnsi="宋体"/>
          <w:b w:val="0"/>
          <w:bCs/>
          <w:sz w:val="24"/>
          <w:szCs w:val="24"/>
          <w:lang w:eastAsia="zh-CN"/>
        </w:rPr>
        <w:t>记录</w:t>
      </w:r>
      <w:r>
        <w:rPr>
          <w:rFonts w:hint="eastAsia" w:ascii="宋体" w:hAnsi="宋体"/>
          <w:b w:val="0"/>
          <w:bCs/>
          <w:sz w:val="24"/>
          <w:szCs w:val="24"/>
        </w:rPr>
        <w:t>（出具的检验报告复印件，并加盖原厂公章）</w:t>
      </w:r>
    </w:p>
    <w:p w14:paraId="55AF2F7C">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2、</w:t>
      </w:r>
      <w:r>
        <w:rPr>
          <w:rFonts w:hint="eastAsia" w:ascii="宋体" w:hAnsi="宋体"/>
          <w:b w:val="0"/>
          <w:bCs/>
          <w:sz w:val="24"/>
          <w:szCs w:val="24"/>
        </w:rPr>
        <w:t>显示屏：不小于15.6寸工业级LCD显示屏，屏幕尺寸大，交互体验佳；</w:t>
      </w:r>
    </w:p>
    <w:p w14:paraId="7F65EB71">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车牌号码识别:支持常用车牌(军牌/民航/使馆牌/港澳牌等特殊车牌)识别、无牌车(有/无牌车检测)识别、车辆特征(车标/车颜色)识别;正确识别车牌中的汉字、字母及数字，相似的省份汉字、字母识别率可达99%以上（出具的检验报告复印件，并加盖原厂公章）</w:t>
      </w:r>
    </w:p>
    <w:p w14:paraId="7AC92D38">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识别效果：最大识别角度＞75°，雨、雾识别率≥98%、车牌捕获率：视频流触发≥99.9%、车牌颜色识别率: 全天候≥99%（出具的检验报告复印件，并加盖原厂公章）</w:t>
      </w:r>
    </w:p>
    <w:p w14:paraId="74D37ED8">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5、</w:t>
      </w:r>
      <w:r>
        <w:rPr>
          <w:rFonts w:hint="eastAsia" w:ascii="宋体" w:hAnsi="宋体"/>
          <w:b w:val="0"/>
          <w:bCs/>
          <w:sz w:val="24"/>
          <w:szCs w:val="24"/>
        </w:rPr>
        <w:t>防伪能力：纸打车牌防伪率≥95%，手机车牌防伪率≥98%（出具的检验报告复印件，并加盖原厂公章）</w:t>
      </w:r>
    </w:p>
    <w:p w14:paraId="4133573A">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6、</w:t>
      </w:r>
      <w:r>
        <w:rPr>
          <w:rFonts w:hint="eastAsia" w:ascii="宋体" w:hAnsi="宋体"/>
          <w:b w:val="0"/>
          <w:bCs/>
          <w:sz w:val="24"/>
          <w:szCs w:val="24"/>
        </w:rPr>
        <w:t>二维码读头：支付距离0.8~1.5m,响应时间小于1s（出具的检验报告复印件，并加盖原厂公章）</w:t>
      </w:r>
    </w:p>
    <w:p w14:paraId="090840D7">
      <w:pPr>
        <w:spacing w:line="360" w:lineRule="auto"/>
        <w:rPr>
          <w:rFonts w:hint="eastAsia" w:ascii="宋体" w:hAnsi="宋体"/>
          <w:b/>
          <w:bCs w:val="0"/>
          <w:sz w:val="24"/>
          <w:szCs w:val="24"/>
        </w:rPr>
      </w:pPr>
      <w:r>
        <w:rPr>
          <w:rFonts w:hint="eastAsia" w:ascii="宋体" w:hAnsi="宋体"/>
          <w:b/>
          <w:bCs w:val="0"/>
          <w:sz w:val="24"/>
          <w:szCs w:val="24"/>
          <w:lang w:eastAsia="zh-CN"/>
        </w:rPr>
        <w:t>（二）</w:t>
      </w:r>
      <w:r>
        <w:rPr>
          <w:rFonts w:hint="eastAsia" w:ascii="宋体" w:hAnsi="宋体"/>
          <w:b/>
          <w:bCs w:val="0"/>
          <w:sz w:val="24"/>
          <w:szCs w:val="24"/>
        </w:rPr>
        <w:t>车牌识别一体机：</w:t>
      </w:r>
    </w:p>
    <w:p w14:paraId="1A5A90C3">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存储容量：记录存储支持不低于5万条事件，抓拍照片：支持不低于500张，用户存储容量：支持不低于20万条</w:t>
      </w:r>
      <w:r>
        <w:rPr>
          <w:rFonts w:hint="eastAsia" w:ascii="宋体" w:hAnsi="宋体"/>
          <w:b w:val="0"/>
          <w:bCs/>
          <w:sz w:val="24"/>
          <w:szCs w:val="24"/>
          <w:lang w:eastAsia="zh-CN"/>
        </w:rPr>
        <w:t>记录</w:t>
      </w:r>
      <w:bookmarkStart w:id="2" w:name="_GoBack"/>
      <w:bookmarkEnd w:id="2"/>
      <w:r>
        <w:rPr>
          <w:rFonts w:hint="eastAsia" w:ascii="宋体" w:hAnsi="宋体"/>
          <w:b w:val="0"/>
          <w:bCs/>
          <w:sz w:val="24"/>
          <w:szCs w:val="24"/>
        </w:rPr>
        <w:t>（出具的检验报告复印件，并加盖原厂公章）</w:t>
      </w:r>
    </w:p>
    <w:p w14:paraId="60D6239E">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2、</w:t>
      </w:r>
      <w:r>
        <w:rPr>
          <w:rFonts w:hint="eastAsia" w:ascii="宋体" w:hAnsi="宋体"/>
          <w:b w:val="0"/>
          <w:bCs/>
          <w:sz w:val="24"/>
          <w:szCs w:val="24"/>
        </w:rPr>
        <w:t>摄像头：500万像素</w:t>
      </w:r>
    </w:p>
    <w:p w14:paraId="7C51CDAA">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车牌号码识别:支持常用车牌(军牌/民航/使馆牌/港澳牌等特殊车牌)识别、无牌车(有/无牌车检测)识别、车辆特征(车标/车颜色)识别;正确识别车牌中的汉字、字母及数字，相似的省份汉字、字母识别率可达99%以上（出具的检验报告复印件，并加盖原厂公章）</w:t>
      </w:r>
    </w:p>
    <w:p w14:paraId="524BD7BA">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识别效果：最大识别角度＞75°，雨、雾识别率≥98%、车牌捕获率：视频流触发≥99.9%、车牌颜色识别率: 全天候≥99%（出具的检验报告复印件，并加盖原厂公章）</w:t>
      </w:r>
    </w:p>
    <w:p w14:paraId="1F940DBA">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5、</w:t>
      </w:r>
      <w:r>
        <w:rPr>
          <w:rFonts w:hint="eastAsia" w:ascii="宋体" w:hAnsi="宋体"/>
          <w:b w:val="0"/>
          <w:bCs/>
          <w:sz w:val="24"/>
          <w:szCs w:val="24"/>
        </w:rPr>
        <w:t>防伪能力：纸打车牌防伪率≥95%，手机车牌防伪率≥98%（出具的检验报告复印件，并加盖原厂公章）</w:t>
      </w:r>
    </w:p>
    <w:p w14:paraId="350CA4BC">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6、</w:t>
      </w:r>
      <w:r>
        <w:rPr>
          <w:rFonts w:hint="eastAsia" w:ascii="宋体" w:hAnsi="宋体"/>
          <w:b w:val="0"/>
          <w:bCs/>
          <w:sz w:val="24"/>
          <w:szCs w:val="24"/>
        </w:rPr>
        <w:t>二维码读头：支付距离0.8~1.5m,响应时间小于1s（出具的检验报告复印件，并加盖原厂公章）</w:t>
      </w:r>
    </w:p>
    <w:p w14:paraId="379A3026">
      <w:pPr>
        <w:spacing w:line="360" w:lineRule="auto"/>
        <w:rPr>
          <w:rFonts w:hint="eastAsia" w:ascii="宋体" w:hAnsi="宋体"/>
          <w:b/>
          <w:bCs w:val="0"/>
          <w:sz w:val="24"/>
          <w:szCs w:val="24"/>
        </w:rPr>
      </w:pPr>
      <w:r>
        <w:rPr>
          <w:rFonts w:hint="eastAsia" w:ascii="宋体" w:hAnsi="宋体"/>
          <w:b/>
          <w:bCs w:val="0"/>
          <w:sz w:val="24"/>
          <w:szCs w:val="24"/>
          <w:lang w:val="en-US" w:eastAsia="zh-CN"/>
        </w:rPr>
        <w:t>（三）</w:t>
      </w:r>
      <w:r>
        <w:rPr>
          <w:rFonts w:hint="eastAsia" w:ascii="宋体" w:hAnsi="宋体"/>
          <w:b/>
          <w:bCs w:val="0"/>
          <w:sz w:val="24"/>
          <w:szCs w:val="24"/>
        </w:rPr>
        <w:t>道闸（含雷达）</w:t>
      </w:r>
    </w:p>
    <w:p w14:paraId="1055CE5A">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开闸速度：0.8s~5.0s可调</w:t>
      </w:r>
    </w:p>
    <w:p w14:paraId="4E00C794">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2、</w:t>
      </w:r>
      <w:r>
        <w:rPr>
          <w:rFonts w:hint="eastAsia" w:ascii="宋体" w:hAnsi="宋体"/>
          <w:b w:val="0"/>
          <w:bCs/>
          <w:sz w:val="24"/>
          <w:szCs w:val="24"/>
        </w:rPr>
        <w:t>机芯寿命：≥500万次</w:t>
      </w:r>
    </w:p>
    <w:p w14:paraId="03C135E8">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防砸功能：车辆、行人防砸</w:t>
      </w:r>
    </w:p>
    <w:p w14:paraId="3D45DC37">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带非法开闸记录：手机及电脑可查询记录，操作人、操作时间及图片等信息</w:t>
      </w:r>
    </w:p>
    <w:p w14:paraId="206F52AF">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5、</w:t>
      </w:r>
      <w:r>
        <w:rPr>
          <w:rFonts w:hint="eastAsia" w:ascii="宋体" w:hAnsi="宋体"/>
          <w:b w:val="0"/>
          <w:bCs/>
          <w:sz w:val="24"/>
          <w:szCs w:val="24"/>
        </w:rPr>
        <w:t>具有应急放行功能：断电后，道闸杆自动竖起放行</w:t>
      </w:r>
    </w:p>
    <w:p w14:paraId="793E4B1E">
      <w:pPr>
        <w:spacing w:line="360" w:lineRule="auto"/>
        <w:rPr>
          <w:rFonts w:hint="eastAsia" w:ascii="宋体" w:hAnsi="宋体"/>
          <w:b/>
          <w:bCs w:val="0"/>
          <w:sz w:val="24"/>
          <w:szCs w:val="24"/>
        </w:rPr>
      </w:pPr>
      <w:r>
        <w:rPr>
          <w:rFonts w:hint="eastAsia" w:ascii="宋体" w:hAnsi="宋体"/>
          <w:b/>
          <w:bCs w:val="0"/>
          <w:sz w:val="24"/>
          <w:szCs w:val="24"/>
          <w:lang w:val="en-US" w:eastAsia="zh-CN"/>
        </w:rPr>
        <w:t>（四）</w:t>
      </w:r>
      <w:r>
        <w:rPr>
          <w:rFonts w:hint="eastAsia" w:ascii="宋体" w:hAnsi="宋体"/>
          <w:b/>
          <w:bCs w:val="0"/>
          <w:sz w:val="24"/>
          <w:szCs w:val="24"/>
        </w:rPr>
        <w:t>辅助摄像机：</w:t>
      </w:r>
    </w:p>
    <w:p w14:paraId="419BCF8C">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摄像头：500万高清摄像头</w:t>
      </w:r>
    </w:p>
    <w:p w14:paraId="77F9BB8E">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2、</w:t>
      </w:r>
      <w:r>
        <w:rPr>
          <w:rFonts w:hint="eastAsia" w:ascii="宋体" w:hAnsi="宋体"/>
          <w:b w:val="0"/>
          <w:bCs/>
          <w:sz w:val="24"/>
          <w:szCs w:val="24"/>
        </w:rPr>
        <w:t>三防设计：三防摄像头模组，防水、防尘、防凝露，保证雨雾天气精准识别（出具的检验报告复印件，并加盖原厂公章）</w:t>
      </w:r>
    </w:p>
    <w:p w14:paraId="38F10F73">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防雷级别：满足三级防雷保护（出具的检验报告复印件，并加盖原厂公章）</w:t>
      </w:r>
    </w:p>
    <w:p w14:paraId="25AFA020">
      <w:pPr>
        <w:spacing w:line="360" w:lineRule="auto"/>
        <w:ind w:firstLine="480" w:firstLineChars="200"/>
        <w:rPr>
          <w:rFonts w:hint="eastAsia"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车牌识别率：≥99.8%（全天候）、辆捕获率：≥99%</w:t>
      </w:r>
    </w:p>
    <w:p w14:paraId="04E93C42">
      <w:pPr>
        <w:numPr>
          <w:ilvl w:val="0"/>
          <w:numId w:val="0"/>
        </w:numPr>
        <w:spacing w:line="360" w:lineRule="auto"/>
        <w:rPr>
          <w:rFonts w:hint="eastAsia" w:ascii="宋体" w:hAnsi="宋体"/>
          <w:b/>
          <w:bCs w:val="0"/>
          <w:sz w:val="24"/>
          <w:szCs w:val="24"/>
          <w:lang w:val="en-US" w:eastAsia="zh-CN"/>
        </w:rPr>
      </w:pPr>
      <w:r>
        <w:rPr>
          <w:rFonts w:hint="eastAsia" w:ascii="宋体" w:hAnsi="宋体"/>
          <w:b/>
          <w:bCs w:val="0"/>
          <w:sz w:val="24"/>
          <w:szCs w:val="24"/>
          <w:lang w:val="en-US" w:eastAsia="zh-CN"/>
        </w:rPr>
        <w:t>（五）停车管理</w:t>
      </w:r>
      <w:bookmarkEnd w:id="1"/>
      <w:r>
        <w:rPr>
          <w:rFonts w:hint="eastAsia" w:ascii="宋体" w:hAnsi="宋体"/>
          <w:b/>
          <w:bCs w:val="0"/>
          <w:sz w:val="24"/>
          <w:szCs w:val="24"/>
          <w:lang w:val="en-US" w:eastAsia="zh-CN"/>
        </w:rPr>
        <w:t>系统</w:t>
      </w:r>
    </w:p>
    <w:p w14:paraId="2EB22F19">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停车场管理系统通过对停车场的出入口的控制，完成对车辆进出及收费的有效管理。系统包括入口处的进车管理,入口及场内通道的行车指示,车牌的自动识别,语音提示,出入口道闸的自动控制,自动计费及收费金额显示；发生意外情况时的报警,安全防范等。使停车场的进出和车位管理更加规范、有序，提高停车场经营效益，加快停车场的车辆周转，提高车位利用率。并能提高出入口的车流量，缓解高峰期的拥堵情况。同时，停车场管理系统需对接入的停车场进行集中管控，实现一体化管理。提供手机APP，可查询当前车场经营数据。为保障系统整体性和运行稳定性，要求停车场智能硬件及软件平台采用同一品牌产品。</w:t>
      </w:r>
    </w:p>
    <w:p w14:paraId="1EE55469">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1、车牌自动识别</w:t>
      </w:r>
    </w:p>
    <w:p w14:paraId="2A63DD57">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（1）实现免介质进出场，有牌车采用车牌识别作为车辆进出场凭证；无牌车采用动态扫码方式作为进场凭证；</w:t>
      </w:r>
    </w:p>
    <w:p w14:paraId="1F64CDC3">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（2）保障多种车牌类型的准确认定，支持识别蓝牌车、新能源车牌、军警、使馆、应急车等多种车牌自动识别；</w:t>
      </w:r>
    </w:p>
    <w:p w14:paraId="1826E8C2">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（3）出口、入口车牌识别需采用高清摄像头不低于500万像素采集车牌信息，车牌识别率 ≥99.5%(不包含无牌、严重污损因素)。</w:t>
      </w:r>
    </w:p>
    <w:p w14:paraId="7A4D77A4">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2、收费显示功能</w:t>
      </w:r>
    </w:p>
    <w:p w14:paraId="4CD476C1">
      <w:pPr>
        <w:numPr>
          <w:ilvl w:val="0"/>
          <w:numId w:val="0"/>
        </w:numPr>
        <w:spacing w:line="360" w:lineRule="auto"/>
        <w:rPr>
          <w:rFonts w:hint="eastAsia" w:ascii="宋体" w:hAnsi="宋体"/>
          <w:b w:val="0"/>
          <w:bCs/>
          <w:sz w:val="24"/>
          <w:szCs w:val="24"/>
          <w:lang w:val="en-US" w:eastAsia="zh-CN"/>
        </w:rPr>
      </w:pPr>
      <w:r>
        <w:rPr>
          <w:rFonts w:hint="eastAsia" w:ascii="宋体" w:hAnsi="宋体"/>
          <w:b w:val="0"/>
          <w:bCs/>
          <w:sz w:val="24"/>
          <w:szCs w:val="24"/>
          <w:lang w:val="en-US" w:eastAsia="zh-CN"/>
        </w:rPr>
        <w:t>系统设备支持采用LCD电子显示屏，显示内容包括进场车辆信息、出场时间、停放时长、收费金额等相关信息，配合语音播报；</w:t>
      </w:r>
    </w:p>
    <w:p w14:paraId="525C7370">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3、系统安全管理</w:t>
      </w:r>
    </w:p>
    <w:p w14:paraId="64EF17CF">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（1）用户认证</w:t>
      </w:r>
    </w:p>
    <w:p w14:paraId="4A43591F">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系统提供用户认证服务完成用户认证，只有通过认证的用户才能登录进入系统。</w:t>
      </w:r>
    </w:p>
    <w:p w14:paraId="6D3BC0AB">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（2）权限管理</w:t>
      </w:r>
    </w:p>
    <w:p w14:paraId="232610C3">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提供对系统内部各个模块的访问控制，能够控制不同角色的用户只能访问其允许访问的功能模块，客户只能访问自管理模块中与自己相关的信息等等。</w:t>
      </w:r>
    </w:p>
    <w:p w14:paraId="3B57A321">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（3）日志管理</w:t>
      </w:r>
    </w:p>
    <w:p w14:paraId="7A0D5870">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有查询登录、操作等信息和删除日志功能。</w:t>
      </w:r>
    </w:p>
    <w:p w14:paraId="119292E5">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（4）配置管理</w:t>
      </w:r>
    </w:p>
    <w:p w14:paraId="7F8ECA45">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对系统涉及到的配置信息能够提供界面手工维护和数据导入导出功能。</w:t>
      </w:r>
    </w:p>
    <w:p w14:paraId="4C4408B5">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4、系统模式管理</w:t>
      </w:r>
    </w:p>
    <w:p w14:paraId="38ADA561">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系统需支持设置多种收费模式：临时车正常收费；针对职工或特殊车辆，有不同收费或减免模式，如根据时段（日期）设置免费时段，不在时段内可按临时车标准收费；或按周、月、年等设定免费总时长，超出免费时长按临时车标准收费；针对体检等特殊车辆进行优惠减免或打折，可包含时间优惠、金额优惠、打折及时间段减免等多种优惠政策。系统支持防逃费功能，可查看、录入、修改各类优惠车辆信息。</w:t>
      </w:r>
    </w:p>
    <w:p w14:paraId="42F74216">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系统可统计分析院内车流情况与业务收费情况，可查询车辆出、入场、停留情况等，用于初步数据分析与投诉处理。</w:t>
      </w:r>
    </w:p>
    <w:p w14:paraId="62341A0D">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5、电子发票功能</w:t>
      </w:r>
    </w:p>
    <w:p w14:paraId="36524597">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车场服务费发票可在线获取，支持车场付费开通电子发票服务，实现车主自主线上开票，实现企业开票信息线上维护，操作简洁，其中电子发票服务包括已开票、未开票、重开、剩余票量等独立报表，自主开启或禁用电子发票服务。</w:t>
      </w:r>
    </w:p>
    <w:p w14:paraId="14EDE570">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6、财务对账功能</w:t>
      </w:r>
      <w:r>
        <w:rPr>
          <w:rFonts w:hint="eastAsia" w:ascii="宋体" w:hAnsi="宋体"/>
          <w:b w:val="0"/>
          <w:bCs/>
          <w:sz w:val="24"/>
          <w:szCs w:val="24"/>
          <w:lang w:val="en-US" w:eastAsia="zh-CN"/>
        </w:rPr>
        <w:tab/>
      </w:r>
    </w:p>
    <w:p w14:paraId="4C64DC2E">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系统能生成停车场的日、月、年等财务报表，还应具有任何车辆的查询统计以及停车场的车位利用率分析等功能，并提供多种功能的数据检索；</w:t>
      </w:r>
    </w:p>
    <w:p w14:paraId="65B87F2C">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（1）按进出车辆流量统计明细报表；</w:t>
      </w:r>
    </w:p>
    <w:p w14:paraId="2C754C1D">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（2）按每日，每月，每年收费情况统计报表；</w:t>
      </w:r>
    </w:p>
    <w:p w14:paraId="4FF4C675">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（3）按应收，实收，现金，优惠等分类情况统计收费报表；</w:t>
      </w:r>
    </w:p>
    <w:p w14:paraId="3D8F2E0F">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（4）按非正常收费、军警免费等特殊数据统计报表；</w:t>
      </w:r>
    </w:p>
    <w:p w14:paraId="28263B36">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（5）按固定车牌查询、统计报表；</w:t>
      </w:r>
    </w:p>
    <w:p w14:paraId="633C482B">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支持支付宝、微信、银联、招行等支付渠道的扫码支付、付款码支付、无感支付、月卡续费等多种支付方式的统一自动化的结算和对账，实现停车收费系统、支付渠道的交易数据整合分析，降低商管运营、财务部门对账工作的难度。</w:t>
      </w:r>
    </w:p>
    <w:p w14:paraId="52EC8BE3">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7、车场业务其他功能</w:t>
      </w:r>
    </w:p>
    <w:p w14:paraId="71D76D3C">
      <w:pPr>
        <w:numPr>
          <w:ilvl w:val="0"/>
          <w:numId w:val="0"/>
        </w:numPr>
        <w:spacing w:line="360" w:lineRule="auto"/>
        <w:ind w:firstLine="480" w:firstLineChars="200"/>
        <w:rPr>
          <w:rFonts w:hint="eastAsia" w:ascii="宋体" w:hAnsi="宋体"/>
          <w:b w:val="0"/>
          <w:bCs/>
          <w:sz w:val="24"/>
          <w:szCs w:val="24"/>
          <w:lang w:val="en-US" w:eastAsia="zh-CN"/>
        </w:rPr>
      </w:pPr>
      <w:r>
        <w:rPr>
          <w:rFonts w:hint="eastAsia" w:ascii="宋体" w:hAnsi="宋体"/>
          <w:b w:val="0"/>
          <w:bCs/>
          <w:sz w:val="24"/>
          <w:szCs w:val="24"/>
          <w:lang w:val="en-US" w:eastAsia="zh-CN"/>
        </w:rPr>
        <w:t>系统支持优惠劵多种发放模式，对不同车辆进行费用减免等。</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DengXian">
    <w:altName w:val="宋体"/>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4B"/>
    <w:rsid w:val="0006696D"/>
    <w:rsid w:val="00195C9A"/>
    <w:rsid w:val="001D5804"/>
    <w:rsid w:val="00234BE4"/>
    <w:rsid w:val="002554BA"/>
    <w:rsid w:val="00261C26"/>
    <w:rsid w:val="00324C82"/>
    <w:rsid w:val="00431524"/>
    <w:rsid w:val="004B3857"/>
    <w:rsid w:val="0052024B"/>
    <w:rsid w:val="00693CAB"/>
    <w:rsid w:val="00780EFE"/>
    <w:rsid w:val="00844EAC"/>
    <w:rsid w:val="00876C09"/>
    <w:rsid w:val="00932A4C"/>
    <w:rsid w:val="009C53E2"/>
    <w:rsid w:val="009D22B3"/>
    <w:rsid w:val="00B30AF8"/>
    <w:rsid w:val="00DC5E6F"/>
    <w:rsid w:val="00E759D0"/>
    <w:rsid w:val="00E95CD7"/>
    <w:rsid w:val="00ED5022"/>
    <w:rsid w:val="118C1C97"/>
    <w:rsid w:val="1CF22CDA"/>
    <w:rsid w:val="2F9F1881"/>
    <w:rsid w:val="7B831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semiHidden="0"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9"/>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1"/>
    <w:next w:val="1"/>
    <w:link w:val="11"/>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5">
    <w:name w:val="heading 3"/>
    <w:basedOn w:val="1"/>
    <w:next w:val="1"/>
    <w:link w:val="12"/>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uiPriority w:val="99"/>
    <w:pPr>
      <w:ind w:firstLine="420" w:firstLineChars="200"/>
    </w:pPr>
  </w:style>
  <w:style w:type="paragraph" w:styleId="6">
    <w:name w:val="footer"/>
    <w:basedOn w:val="1"/>
    <w:link w:val="16"/>
    <w:qFormat/>
    <w:uiPriority w:val="99"/>
    <w:pPr>
      <w:tabs>
        <w:tab w:val="center" w:pos="4153"/>
        <w:tab w:val="right" w:pos="8306"/>
      </w:tabs>
      <w:snapToGrid w:val="0"/>
      <w:jc w:val="left"/>
    </w:pPr>
    <w:rPr>
      <w:sz w:val="18"/>
      <w:szCs w:val="18"/>
    </w:rPr>
  </w:style>
  <w:style w:type="table" w:styleId="8">
    <w:name w:val="Table Grid"/>
    <w:basedOn w:val="7"/>
    <w:unhideWhenUsed/>
    <w:qFormat/>
    <w:uiPriority w:val="39"/>
    <w:rPr>
      <w:rFonts w:ascii="Arial" w:hAnsi="Arial" w:cs="Arial"/>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0">
    <w:name w:val="标题 1 字符"/>
    <w:basedOn w:val="9"/>
    <w:link w:val="3"/>
    <w:uiPriority w:val="9"/>
    <w:rPr>
      <w:rFonts w:ascii="宋体" w:hAnsi="宋体" w:eastAsia="宋体" w:cs="Times New Roman"/>
      <w:b/>
      <w:kern w:val="44"/>
      <w:sz w:val="48"/>
      <w:szCs w:val="48"/>
    </w:rPr>
  </w:style>
  <w:style w:type="character" w:customStyle="1" w:styleId="11">
    <w:name w:val="标题 2 字符"/>
    <w:basedOn w:val="9"/>
    <w:link w:val="4"/>
    <w:uiPriority w:val="9"/>
    <w:rPr>
      <w:rFonts w:ascii="等线 Light" w:hAnsi="等线 Light" w:eastAsia="等线 Light" w:cs="Times New Roman"/>
      <w:b/>
      <w:bCs/>
      <w:sz w:val="32"/>
      <w:szCs w:val="32"/>
    </w:rPr>
  </w:style>
  <w:style w:type="character" w:customStyle="1" w:styleId="12">
    <w:name w:val="标题 3 字符"/>
    <w:basedOn w:val="9"/>
    <w:link w:val="5"/>
    <w:uiPriority w:val="9"/>
    <w:rPr>
      <w:rFonts w:ascii="Times New Roman" w:hAnsi="Times New Roman" w:eastAsia="宋体" w:cs="Times New Roman"/>
      <w:b/>
      <w:bCs/>
      <w:sz w:val="32"/>
      <w:szCs w:val="32"/>
    </w:rPr>
  </w:style>
  <w:style w:type="table" w:customStyle="1" w:styleId="13">
    <w:name w:val="Table Normal"/>
    <w:semiHidden/>
    <w:unhideWhenUsed/>
    <w:qFormat/>
    <w:uiPriority w:val="0"/>
    <w:rPr>
      <w:rFonts w:ascii="Arial" w:hAnsi="Arial" w:cs="Arial"/>
      <w:kern w:val="0"/>
      <w:sz w:val="20"/>
      <w:szCs w:val="20"/>
    </w:rPr>
    <w:tblPr>
      <w:tblCellMar>
        <w:top w:w="0" w:type="dxa"/>
        <w:left w:w="0" w:type="dxa"/>
        <w:bottom w:w="0" w:type="dxa"/>
        <w:right w:w="0" w:type="dxa"/>
      </w:tblCellMar>
    </w:tblPr>
  </w:style>
  <w:style w:type="paragraph" w:customStyle="1" w:styleId="14">
    <w:name w:val="正文缩进_0"/>
    <w:basedOn w:val="1"/>
    <w:qFormat/>
    <w:uiPriority w:val="0"/>
    <w:pPr>
      <w:autoSpaceDE w:val="0"/>
      <w:autoSpaceDN w:val="0"/>
      <w:spacing w:line="360" w:lineRule="auto"/>
      <w:ind w:left="181" w:firstLine="420"/>
    </w:pPr>
    <w:rPr>
      <w:sz w:val="24"/>
      <w:szCs w:val="20"/>
    </w:rPr>
  </w:style>
  <w:style w:type="paragraph" w:styleId="15">
    <w:name w:val="List Paragraph"/>
    <w:basedOn w:val="1"/>
    <w:qFormat/>
    <w:uiPriority w:val="34"/>
    <w:pPr>
      <w:ind w:firstLine="420" w:firstLineChars="200"/>
    </w:pPr>
  </w:style>
  <w:style w:type="character" w:customStyle="1" w:styleId="16">
    <w:name w:val="页脚 字符"/>
    <w:basedOn w:val="9"/>
    <w:link w:val="6"/>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2521</Words>
  <Characters>2612</Characters>
  <Lines>49</Lines>
  <Paragraphs>13</Paragraphs>
  <TotalTime>36</TotalTime>
  <ScaleCrop>false</ScaleCrop>
  <LinksUpToDate>false</LinksUpToDate>
  <CharactersWithSpaces>2616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2026-03-05T02:24:00Z</dcterms:created>
  <dc:creator>Microsoft Office 用户</dc:creator>
  <cp:lastModifiedBy>rongrong</cp:lastModifiedBy>
  <dcterms:modified xsi:type="dcterms:W3CDTF">2026-03-06T00:39:38Z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eyJoZGlkIjoiYTEzMTZkZGIxZjA1MWMzMjExNzRiZjdkODUzMmU4NDAiLCJ1c2VySWQiOiIyNTA4MDQ2NTUifQ==</vt:lpwstr>
  </property>
  <property fmtid="{D5CDD505-2E9C-101B-9397-08002B2CF9AE}" pid="3" name="KSOProductBuildVer">
    <vt:lpwstr>2052-12.1.0.25225</vt:lpwstr>
  </property>
  <property fmtid="{D5CDD505-2E9C-101B-9397-08002B2CF9AE}" pid="4" name="ICV">
    <vt:lpwstr>B1CAFA464B414E189D268EEEF58F3003_12</vt:lpwstr>
  </property>
</Properties>
</file>