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9C632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7A3A3372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7EDCBA1A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57F58DA6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599DABBC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5E510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ascii="宋体" w:hAnsi="宋体"/>
          <w:b/>
          <w:sz w:val="44"/>
          <w:szCs w:val="44"/>
          <w:lang w:val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江苏省第二中医院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肌电图等单机报告接入</w:t>
      </w:r>
      <w:r>
        <w:rPr>
          <w:rFonts w:hint="eastAsia" w:ascii="宋体" w:hAnsi="宋体"/>
          <w:b/>
          <w:sz w:val="44"/>
          <w:szCs w:val="44"/>
          <w:lang w:val="zh-CN"/>
        </w:rPr>
        <w:t>项目</w:t>
      </w:r>
    </w:p>
    <w:p w14:paraId="5F1CA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ascii="宋体" w:hAnsi="宋体"/>
          <w:color w:val="000000"/>
          <w:sz w:val="44"/>
          <w:szCs w:val="44"/>
          <w:lang w:val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调研内容</w:t>
      </w:r>
    </w:p>
    <w:p w14:paraId="12B42727">
      <w:pPr>
        <w:autoSpaceDE w:val="0"/>
        <w:autoSpaceDN w:val="0"/>
        <w:adjustRightInd w:val="0"/>
        <w:jc w:val="left"/>
        <w:rPr>
          <w:rFonts w:ascii="宋体" w:hAnsi="宋体"/>
          <w:color w:val="000000"/>
          <w:sz w:val="32"/>
          <w:szCs w:val="32"/>
          <w:lang w:val="zh-CN"/>
        </w:rPr>
      </w:pPr>
    </w:p>
    <w:p w14:paraId="6351D094">
      <w:pPr>
        <w:autoSpaceDE w:val="0"/>
        <w:autoSpaceDN w:val="0"/>
        <w:adjustRightInd w:val="0"/>
        <w:jc w:val="left"/>
        <w:rPr>
          <w:rFonts w:ascii="宋体" w:hAnsi="宋体"/>
          <w:color w:val="000000"/>
          <w:sz w:val="32"/>
          <w:szCs w:val="32"/>
          <w:lang w:val="zh-CN"/>
        </w:rPr>
      </w:pPr>
    </w:p>
    <w:p w14:paraId="7BF58440">
      <w:pPr>
        <w:spacing w:line="480" w:lineRule="auto"/>
        <w:rPr>
          <w:rFonts w:ascii="宋体" w:hAnsi="宋体"/>
          <w:sz w:val="32"/>
          <w:szCs w:val="32"/>
        </w:rPr>
      </w:pPr>
    </w:p>
    <w:p w14:paraId="5AA8585B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63530672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4E922760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34964BA2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6B436BA0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4E59CBAE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0C12D9CC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60ABD1D3">
      <w:pPr>
        <w:bidi w:val="0"/>
        <w:rPr>
          <w:lang w:val="zh-CN"/>
        </w:rPr>
      </w:pPr>
      <w:bookmarkStart w:id="0" w:name="_Toc465785684"/>
      <w:r>
        <w:rPr>
          <w:lang w:val="zh-CN"/>
        </w:rPr>
        <w:br w:type="page"/>
      </w:r>
      <w:bookmarkEnd w:id="0"/>
    </w:p>
    <w:p w14:paraId="11069122"/>
    <w:p w14:paraId="10CD45C8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bookmarkStart w:id="1" w:name="_Toc465785687"/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一、产品清单</w:t>
      </w:r>
    </w:p>
    <w:p w14:paraId="4DEDE730">
      <w:pPr>
        <w:pStyle w:val="7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tbl>
      <w:tblPr>
        <w:tblStyle w:val="5"/>
        <w:tblW w:w="89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3568"/>
        <w:gridCol w:w="2546"/>
        <w:gridCol w:w="1072"/>
        <w:gridCol w:w="841"/>
      </w:tblGrid>
      <w:tr w14:paraId="26BE1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71" w:type="dxa"/>
            <w:vAlign w:val="center"/>
          </w:tcPr>
          <w:p w14:paraId="58CD0018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68" w:type="dxa"/>
            <w:vAlign w:val="center"/>
          </w:tcPr>
          <w:p w14:paraId="317F173D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</w:tc>
        <w:tc>
          <w:tcPr>
            <w:tcW w:w="2546" w:type="dxa"/>
            <w:vAlign w:val="center"/>
          </w:tcPr>
          <w:p w14:paraId="4A5AF992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采购要求</w:t>
            </w:r>
          </w:p>
        </w:tc>
        <w:tc>
          <w:tcPr>
            <w:tcW w:w="1072" w:type="dxa"/>
            <w:vAlign w:val="center"/>
          </w:tcPr>
          <w:p w14:paraId="10F79D0E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841" w:type="dxa"/>
            <w:vAlign w:val="center"/>
          </w:tcPr>
          <w:p w14:paraId="3B0F38A0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0BD2A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0FE5F8D6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68" w:type="dxa"/>
            <w:vAlign w:val="center"/>
          </w:tcPr>
          <w:p w14:paraId="7FE34E37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肌电图单机报告接入</w:t>
            </w:r>
          </w:p>
        </w:tc>
        <w:tc>
          <w:tcPr>
            <w:tcW w:w="2546" w:type="dxa"/>
            <w:vAlign w:val="center"/>
          </w:tcPr>
          <w:p w14:paraId="4894FF76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查看现场</w:t>
            </w:r>
          </w:p>
        </w:tc>
        <w:tc>
          <w:tcPr>
            <w:tcW w:w="1072" w:type="dxa"/>
            <w:vAlign w:val="center"/>
          </w:tcPr>
          <w:p w14:paraId="49F7508B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41" w:type="dxa"/>
            <w:vAlign w:val="center"/>
          </w:tcPr>
          <w:p w14:paraId="2EFA109D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</w:tr>
      <w:tr w14:paraId="7EA1A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01C4A44D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68" w:type="dxa"/>
            <w:vAlign w:val="center"/>
          </w:tcPr>
          <w:p w14:paraId="4513EF3F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TCD（颈颅多普勒）</w:t>
            </w: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单机报告接入</w:t>
            </w:r>
          </w:p>
        </w:tc>
        <w:tc>
          <w:tcPr>
            <w:tcW w:w="2546" w:type="dxa"/>
            <w:shd w:val="clear"/>
            <w:vAlign w:val="center"/>
          </w:tcPr>
          <w:p w14:paraId="50EE19B3">
            <w:pPr>
              <w:jc w:val="center"/>
              <w:rPr>
                <w:rFonts w:hint="eastAsia" w:ascii="宋体" w:hAnsi="宋体" w:eastAsia="宋体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查看现场</w:t>
            </w:r>
          </w:p>
        </w:tc>
        <w:tc>
          <w:tcPr>
            <w:tcW w:w="1072" w:type="dxa"/>
            <w:shd w:val="clear"/>
            <w:vAlign w:val="center"/>
          </w:tcPr>
          <w:p w14:paraId="6580D7C5">
            <w:pPr>
              <w:jc w:val="center"/>
              <w:rPr>
                <w:rFonts w:hint="eastAsia" w:ascii="宋体" w:hAnsi="宋体" w:eastAsia="宋体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shd w:val="clear"/>
            <w:vAlign w:val="center"/>
          </w:tcPr>
          <w:p w14:paraId="6D4901FA">
            <w:pPr>
              <w:jc w:val="center"/>
              <w:rPr>
                <w:rFonts w:hint="eastAsia" w:ascii="宋体" w:hAnsi="宋体" w:eastAsia="宋体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</w:tr>
      <w:tr w14:paraId="2F8C8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6EEB29D9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68" w:type="dxa"/>
            <w:vAlign w:val="center"/>
          </w:tcPr>
          <w:p w14:paraId="20F287A8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脑电</w:t>
            </w:r>
            <w:r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图单机报告接入</w:t>
            </w:r>
          </w:p>
        </w:tc>
        <w:tc>
          <w:tcPr>
            <w:tcW w:w="2546" w:type="dxa"/>
            <w:shd w:val="clear"/>
            <w:vAlign w:val="center"/>
          </w:tcPr>
          <w:p w14:paraId="7F4625A5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查看现场</w:t>
            </w:r>
          </w:p>
        </w:tc>
        <w:tc>
          <w:tcPr>
            <w:tcW w:w="1072" w:type="dxa"/>
            <w:shd w:val="clear"/>
            <w:vAlign w:val="center"/>
          </w:tcPr>
          <w:p w14:paraId="432CCC6D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shd w:val="clear"/>
            <w:vAlign w:val="center"/>
          </w:tcPr>
          <w:p w14:paraId="66E3D26F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</w:tr>
      <w:tr w14:paraId="69080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4246DFDF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568" w:type="dxa"/>
            <w:vAlign w:val="center"/>
          </w:tcPr>
          <w:p w14:paraId="7F6AF3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睡眠监测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单机报告接入</w:t>
            </w:r>
          </w:p>
        </w:tc>
        <w:tc>
          <w:tcPr>
            <w:tcW w:w="2546" w:type="dxa"/>
            <w:shd w:val="clear"/>
            <w:vAlign w:val="center"/>
          </w:tcPr>
          <w:p w14:paraId="6A8F6A19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查看现场</w:t>
            </w:r>
          </w:p>
        </w:tc>
        <w:tc>
          <w:tcPr>
            <w:tcW w:w="1072" w:type="dxa"/>
            <w:shd w:val="clear"/>
            <w:vAlign w:val="center"/>
          </w:tcPr>
          <w:p w14:paraId="545A60D7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shd w:val="clear"/>
            <w:vAlign w:val="center"/>
          </w:tcPr>
          <w:p w14:paraId="37EBDCBD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</w:tr>
      <w:tr w14:paraId="44B38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111C7D08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8" w:type="dxa"/>
            <w:vAlign w:val="center"/>
          </w:tcPr>
          <w:p w14:paraId="6F155E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546" w:type="dxa"/>
            <w:shd w:val="clear"/>
            <w:vAlign w:val="center"/>
          </w:tcPr>
          <w:p w14:paraId="1D739D5C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shd w:val="clear"/>
            <w:vAlign w:val="center"/>
          </w:tcPr>
          <w:p w14:paraId="63DCF4C7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41" w:type="dxa"/>
            <w:shd w:val="clear"/>
            <w:vAlign w:val="center"/>
          </w:tcPr>
          <w:p w14:paraId="754F2769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</w:tr>
    </w:tbl>
    <w:p w14:paraId="3332A3CC">
      <w:pPr>
        <w:pStyle w:val="7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p w14:paraId="480ED3F9">
      <w:pPr>
        <w:spacing w:line="360" w:lineRule="auto"/>
        <w:rPr>
          <w:rFonts w:hint="eastAsia" w:ascii="宋体" w:hAnsi="宋体" w:eastAsia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二、商务要求：</w:t>
      </w: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/>
          <w:b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★为必须项，不满足作废标处理</w:t>
      </w: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）</w:t>
      </w:r>
    </w:p>
    <w:p w14:paraId="732001B7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、培训要求：项目实施结束后，在接到采购人培训指令时，应在采购人规定的时间到达培训地点，对采购人相关管理人员进行免费现场培训</w:t>
      </w:r>
      <w:r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提供不少于 3人/天的培训，采购人经过培训后，应能熟练掌握使用方法，独立完成日常的维护工作，掌握日常运行情况并能及时了解并排除大部分的日常故障。</w:t>
      </w:r>
    </w:p>
    <w:p w14:paraId="20A01DD8">
      <w:pPr>
        <w:spacing w:line="560" w:lineRule="exact"/>
        <w:ind w:firstLine="560" w:firstLineChars="200"/>
        <w:rPr>
          <w:rFonts w:hint="eastAsia" w:ascii="宋体" w:hAnsi="宋体" w:eastAsia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color w:val="000000"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/>
          <w:color w:val="000000"/>
          <w:sz w:val="28"/>
          <w:szCs w:val="28"/>
        </w:rPr>
        <w:t>提供医院现有心电及电生理系统厂家现场技术保障服务,保障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心电及电生理系统</w:t>
      </w:r>
      <w:r>
        <w:rPr>
          <w:rFonts w:hint="eastAsia" w:ascii="宋体" w:hAnsi="宋体"/>
          <w:color w:val="000000"/>
          <w:sz w:val="28"/>
          <w:szCs w:val="28"/>
        </w:rPr>
        <w:t>业务稳定运行不中断，提供≥2名现场保障工程师名单及近半年内任意一个月社保证明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</w:p>
    <w:p w14:paraId="3445C1AE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三、服务要求</w:t>
      </w:r>
    </w:p>
    <w:p w14:paraId="20AFD4EF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1、服务响应时间：在接到服务请求1个小时内到达现场进行服务及保障。</w:t>
      </w:r>
    </w:p>
    <w:p w14:paraId="04494DC4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四、项目实施要求</w:t>
      </w:r>
    </w:p>
    <w:p w14:paraId="04ED3D2D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项目实施时间：签订合同之日起1个月内。</w:t>
      </w:r>
    </w:p>
    <w:p w14:paraId="62BE9001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五、付款条件</w:t>
      </w:r>
    </w:p>
    <w:bookmarkEnd w:id="1"/>
    <w:p w14:paraId="5E01EE7D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验收合格后，支付合同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全部款项</w:t>
      </w:r>
      <w:r>
        <w:rPr>
          <w:rFonts w:hint="eastAsia" w:ascii="宋体" w:hAnsi="宋体" w:cs="仿宋_GB2312"/>
          <w:color w:val="000000"/>
          <w:sz w:val="28"/>
          <w:szCs w:val="28"/>
        </w:rPr>
        <w:t>。</w:t>
      </w:r>
    </w:p>
    <w:p w14:paraId="39075201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六、现场调研</w:t>
      </w:r>
    </w:p>
    <w:p w14:paraId="129D275A"/>
    <w:p w14:paraId="373DEC1E">
      <w:pPr>
        <w:spacing w:line="560" w:lineRule="exact"/>
        <w:ind w:firstLine="560" w:firstLineChars="200"/>
        <w:rPr>
          <w:rFonts w:hint="default" w:ascii="宋体" w:hAnsi="宋体" w:cs="仿宋_GB2312"/>
          <w:color w:val="000000"/>
          <w:sz w:val="28"/>
          <w:szCs w:val="28"/>
          <w:highlight w:val="none"/>
          <w:lang w:val="en-US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项目具体情况请查看现场，联系电话：</w:t>
      </w:r>
      <w:r>
        <w:rPr>
          <w:rFonts w:hint="eastAsia" w:ascii="宋体" w:hAnsi="宋体" w:cs="仿宋_GB2312"/>
          <w:color w:val="000000"/>
          <w:sz w:val="28"/>
          <w:szCs w:val="28"/>
          <w:highlight w:val="none"/>
          <w:lang w:val="en-US" w:eastAsia="zh-CN"/>
        </w:rPr>
        <w:t>唐工 13222777718</w:t>
      </w:r>
    </w:p>
    <w:p w14:paraId="76D00703"/>
    <w:p w14:paraId="478F7A77">
      <w:r>
        <w:br w:type="page"/>
      </w:r>
      <w:bookmarkStart w:id="2" w:name="_GoBack"/>
      <w:bookmarkEnd w:id="2"/>
    </w:p>
    <w:p w14:paraId="685705FC">
      <w:pPr>
        <w:bidi w:val="0"/>
      </w:pPr>
    </w:p>
    <w:p w14:paraId="2F268E1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  <w:t>技术服务要求</w:t>
      </w:r>
    </w:p>
    <w:p w14:paraId="12AF3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宋体" w:hAnsi="宋体" w:eastAsia="宋体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仿宋_GB2312"/>
          <w:color w:val="000000"/>
          <w:sz w:val="28"/>
          <w:szCs w:val="28"/>
          <w:lang w:val="en-US" w:eastAsia="zh-CN"/>
        </w:rPr>
        <w:t>提供医院现有心电及电生理系统和肌电图设备的对接，实现以下内容：</w:t>
      </w:r>
    </w:p>
    <w:p w14:paraId="3758D36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支持肌电图医嘱信息登记保存。</w:t>
      </w:r>
    </w:p>
    <w:p w14:paraId="75361DDF">
      <w:pPr>
        <w:pStyle w:val="10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登记字段完整性</w:t>
      </w:r>
      <w:r>
        <w:rPr>
          <w:rFonts w:hint="eastAsia" w:ascii="宋体" w:hAnsi="宋体" w:eastAsia="宋体" w:cs="宋体"/>
          <w:sz w:val="24"/>
          <w:szCs w:val="24"/>
        </w:rPr>
        <w:t>：支持患者基本信息（姓名、性别、年龄、住院号/门诊号、科室、床号）、医嘱核心信息（医嘱编号、开单医生、开单时间、检查部位、检查类型、临床诊断、申请备注）、设备关联信息（拟使用设备型号、预约检查时间）等字段的标准化登记，字段支持医院HIS系统字段映射与自定义扩展。</w:t>
      </w:r>
    </w:p>
    <w:p w14:paraId="68A1E796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5" w:leftChars="0" w:hanging="425" w:firstLineChars="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数据保存机制</w:t>
      </w:r>
      <w:r>
        <w:rPr>
          <w:rFonts w:hint="eastAsia" w:ascii="宋体" w:hAnsi="宋体" w:eastAsia="宋体" w:cs="宋体"/>
          <w:sz w:val="24"/>
          <w:szCs w:val="24"/>
        </w:rPr>
        <w:t>：登记信息实时同步至医院数据中心，数据存储符合《医疗数据安全指南》要求，保留操作日志（操作人、操作时间、修改记录），日志留存时长≥3年。</w:t>
      </w:r>
    </w:p>
    <w:p w14:paraId="2A46531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支持肌电图PDF报告上传至医院集成平台。</w:t>
      </w:r>
    </w:p>
    <w:p w14:paraId="01EF8989">
      <w:pPr>
        <w:pStyle w:val="10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上传接口标准：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兼容医院现有集成平台接口协议（如HL7 FHIR、IHE XDS-I等，具体适配平台厂商提供的接口规范），支持报告异步上传与同步确认机制，上传超时自动重试（最多3次，每次间隔30秒）。</w:t>
      </w:r>
    </w:p>
    <w:p w14:paraId="7E561E8D">
      <w:pPr>
        <w:pStyle w:val="10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报告关联要求：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PDF报告需与对应的医嘱编号、患者唯一标识（住院号/门诊号）、检查设备编号绑定，确保数据溯源。</w:t>
      </w:r>
    </w:p>
    <w:p w14:paraId="7333395F">
      <w:pPr>
        <w:pStyle w:val="10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集成要求：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提供医院现有集成平台厂商技术支持服务承诺函。</w:t>
      </w:r>
    </w:p>
    <w:p w14:paraId="53A9DBE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支持肌电图报告浏览模块，用于医生在系统中统一查看已上传的肌电图报告。</w:t>
      </w:r>
    </w:p>
    <w:p w14:paraId="1555B76B">
      <w:pPr>
        <w:pStyle w:val="10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查询功能：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支持多条件组合查询（患者姓名、住院号/门诊号、检查时间、开单医生、科室、检查类型等），支持模糊查询与精确查询切换，查询结果支持按检查时间升序/降序排序。</w:t>
      </w:r>
    </w:p>
    <w:p w14:paraId="6A5CE0FE">
      <w:pPr>
        <w:pStyle w:val="10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浏览体验：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报告预览支持PDF原格式展示，支持放大、缩小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功能，可查看报告上传时间、审核状态（未审核/已审核）、审核医生等附加信息。</w:t>
      </w:r>
    </w:p>
    <w:p w14:paraId="7BD7EF85">
      <w:pPr>
        <w:pStyle w:val="10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权限控制：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基于医院角色权限体系，医生仅可查看本人开单或本科室患者的报告，管理员可查看全量报告并进行权限配置，支持报告浏览操作日志记录。</w:t>
      </w:r>
    </w:p>
    <w:p w14:paraId="6304DD2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支持360试图和医生工作站可查看到肌电图报告。</w:t>
      </w:r>
    </w:p>
    <w:p w14:paraId="2064DE0B">
      <w:pPr>
        <w:pStyle w:val="10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360 视图集成：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将肌电图报告纳入患者360度全景视图，与心电报告、病历、检验结果等数据同源展示，在“检查报告”模块下分类呈现，支持一键跳转至完整报告浏览页面。</w:t>
      </w:r>
    </w:p>
    <w:p w14:paraId="2DA5C0DC">
      <w:pPr>
        <w:pStyle w:val="10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医生工作站适配：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支持在医院现有医生工作站（门诊/住院）的“患者信息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检查结果”栏目中直接调取肌电图报告，无需切换系统，报告展示样式与工作站原有报告格式保持一致，确保操作连贯性。</w:t>
      </w:r>
    </w:p>
    <w:p w14:paraId="07C697B7">
      <w:pPr>
        <w:pStyle w:val="10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数据同步时效：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报告上传至集成平台后，30分钟内同步至360视图与医生工作站，保障医生及时获取检查结果，同步状态可在系统后台查看。</w:t>
      </w:r>
    </w:p>
    <w:p w14:paraId="063CB3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针对不同类型的电生理设备提供定制化的接入方案。</w:t>
      </w:r>
    </w:p>
    <w:p w14:paraId="57305561">
      <w:pPr>
        <w:pStyle w:val="10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接入评估：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项目启动前，对医院现有各类电生理设备（如心电图机、动态心电监测仪、电生理记录仪等）进行型号、接口类型、数据格式摸底，形成《设备接入评估报告》，明确每类设备的接入难点与解决方案。</w:t>
      </w:r>
    </w:p>
    <w:p w14:paraId="55B902BE">
      <w:pPr>
        <w:pStyle w:val="10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定制化适配：</w:t>
      </w:r>
    </w:p>
    <w:p w14:paraId="46B5BED3">
      <w:pPr>
        <w:pStyle w:val="10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1320" w:leftChars="400" w:hanging="480" w:hanging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对于支持标准接口（如DICOM、HL7）的设备，采用直接对接方式，开发标准化接口适配器，实现数据实时采集与传输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87D603C">
      <w:pPr>
        <w:pStyle w:val="10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1320" w:leftChars="400" w:hanging="480" w:hanging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对于无标准接口的老旧设备，提供定制化数据采集模块（如硬件采集卡、软件插件），通过设备数据输出端口（如USB、串口）采集数据并转换为标准格式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9B1276E">
      <w:pPr>
        <w:pStyle w:val="10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1320" w:leftChars="400" w:hanging="480" w:hanging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对于不同厂商的专用设备，联合设备原厂进行接口开发，确保数据采集的完整性与准确性。</w:t>
      </w:r>
    </w:p>
    <w:p w14:paraId="2DA3F8E7">
      <w:pPr>
        <w:pStyle w:val="10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接入测试：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每类设备接入完成后，进行单设备测试、多设备联调测试、临床场景模拟测试，测试通过率 100% 后方可上线。</w:t>
      </w:r>
    </w:p>
    <w:p w14:paraId="6D77AFCA">
      <w:pPr>
        <w:pStyle w:val="10"/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扩展性设计：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接入方案预留扩展接口，支持未来新增电生理设备快速接入，无需重构现有系统架构，降低后续设备升级或新增的改造成本。</w:t>
      </w:r>
    </w:p>
    <w:p w14:paraId="63DCCE2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5" w:leftChars="0" w:hanging="425" w:firstLineChars="0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安全接入要求</w:t>
      </w:r>
    </w:p>
    <w:p w14:paraId="394D3301">
      <w:pPr>
        <w:pStyle w:val="10"/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数据安全：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符合等保三级要求，定期进行数据备份，支持数据恢复测试。</w:t>
      </w:r>
    </w:p>
    <w:p w14:paraId="446F2B93">
      <w:pPr>
        <w:pStyle w:val="10"/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系统兼容性：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适配医院现有操作系统（Windows Server、Linux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）、数据库（Oracle、MySQL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）及集成平台版本，无冲突风险。</w:t>
      </w:r>
    </w:p>
    <w:p w14:paraId="635DB2C4">
      <w:pPr>
        <w:pStyle w:val="10"/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845" w:leftChars="0" w:hanging="425" w:firstLineChars="0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培训支持：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需提供操作培训（面向医生、护士、管理员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），包括线下集中培训、操作手册、视频教程，确保相关人员熟练掌握医嘱登记、报告查询等功能。</w:t>
      </w:r>
    </w:p>
    <w:sectPr>
      <w:pgSz w:w="11906" w:h="16838"/>
      <w:pgMar w:top="1383" w:right="1417" w:bottom="1383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8201E1"/>
    <w:multiLevelType w:val="singleLevel"/>
    <w:tmpl w:val="9F8201E1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  <w:b/>
        <w:bCs/>
      </w:rPr>
    </w:lvl>
  </w:abstractNum>
  <w:abstractNum w:abstractNumId="1">
    <w:nsid w:val="D7E0C81B"/>
    <w:multiLevelType w:val="singleLevel"/>
    <w:tmpl w:val="D7E0C81B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B41707"/>
    <w:multiLevelType w:val="singleLevel"/>
    <w:tmpl w:val="D9B41707"/>
    <w:lvl w:ilvl="0" w:tentative="0">
      <w:start w:val="1"/>
      <w:numFmt w:val="decimalEnclosedCircleChinese"/>
      <w:suff w:val="nothing"/>
      <w:lvlText w:val="%1　"/>
      <w:lvlJc w:val="left"/>
      <w:pPr>
        <w:ind w:left="1680" w:firstLine="400"/>
      </w:pPr>
      <w:rPr>
        <w:rFonts w:hint="eastAsia"/>
      </w:rPr>
    </w:lvl>
  </w:abstractNum>
  <w:abstractNum w:abstractNumId="3">
    <w:nsid w:val="FDFE3C85"/>
    <w:multiLevelType w:val="singleLevel"/>
    <w:tmpl w:val="FDFE3C85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  <w:b/>
        <w:bCs/>
      </w:rPr>
    </w:lvl>
  </w:abstractNum>
  <w:abstractNum w:abstractNumId="4">
    <w:nsid w:val="FFDB520F"/>
    <w:multiLevelType w:val="singleLevel"/>
    <w:tmpl w:val="FFDB520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5">
    <w:nsid w:val="FFDDCF15"/>
    <w:multiLevelType w:val="singleLevel"/>
    <w:tmpl w:val="FFDDCF15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  <w:b/>
        <w:bCs/>
      </w:rPr>
    </w:lvl>
  </w:abstractNum>
  <w:abstractNum w:abstractNumId="6">
    <w:nsid w:val="0AEE4B65"/>
    <w:multiLevelType w:val="singleLevel"/>
    <w:tmpl w:val="0AEE4B65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  <w:b/>
        <w:bCs/>
      </w:rPr>
    </w:lvl>
  </w:abstractNum>
  <w:abstractNum w:abstractNumId="7">
    <w:nsid w:val="5EFE0270"/>
    <w:multiLevelType w:val="singleLevel"/>
    <w:tmpl w:val="5EFE0270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 w:ascii="宋体" w:hAnsi="宋体" w:eastAsia="宋体" w:cs="宋体"/>
        <w:b/>
        <w:bCs/>
      </w:rPr>
    </w:lvl>
  </w:abstractNum>
  <w:abstractNum w:abstractNumId="8">
    <w:nsid w:val="6F5EDBE6"/>
    <w:multiLevelType w:val="singleLevel"/>
    <w:tmpl w:val="6F5EDBE6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 w:ascii="宋体" w:hAnsi="宋体" w:eastAsia="宋体" w:cs="宋体"/>
        <w:b/>
        <w:bCs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wMDVmMjdjZjgzNDg4MjYxMTdiOWQ1YmE2MTY3MzQifQ=="/>
  </w:docVars>
  <w:rsids>
    <w:rsidRoot w:val="61F8231B"/>
    <w:rsid w:val="00305651"/>
    <w:rsid w:val="00731E37"/>
    <w:rsid w:val="00910BD6"/>
    <w:rsid w:val="00990779"/>
    <w:rsid w:val="00DE55CF"/>
    <w:rsid w:val="096F86D1"/>
    <w:rsid w:val="13233A74"/>
    <w:rsid w:val="19FF6396"/>
    <w:rsid w:val="1FB9A404"/>
    <w:rsid w:val="2C194D12"/>
    <w:rsid w:val="2EDB1C22"/>
    <w:rsid w:val="32BF5229"/>
    <w:rsid w:val="33BF5C1F"/>
    <w:rsid w:val="37EF9001"/>
    <w:rsid w:val="3A6F5EC2"/>
    <w:rsid w:val="3AFE5705"/>
    <w:rsid w:val="3DEC7CB0"/>
    <w:rsid w:val="3DFE7B55"/>
    <w:rsid w:val="3F3B680E"/>
    <w:rsid w:val="3F6F281B"/>
    <w:rsid w:val="3F6F415C"/>
    <w:rsid w:val="4DE5F1DD"/>
    <w:rsid w:val="4E5F6805"/>
    <w:rsid w:val="5DFF8317"/>
    <w:rsid w:val="5DFFA75F"/>
    <w:rsid w:val="5FF76072"/>
    <w:rsid w:val="61F8231B"/>
    <w:rsid w:val="6393171D"/>
    <w:rsid w:val="67F65B04"/>
    <w:rsid w:val="689B65FE"/>
    <w:rsid w:val="6AFFC0C7"/>
    <w:rsid w:val="6EFE7DE8"/>
    <w:rsid w:val="6F1C9713"/>
    <w:rsid w:val="6F9D63FC"/>
    <w:rsid w:val="6FFE4AEA"/>
    <w:rsid w:val="72B67018"/>
    <w:rsid w:val="73FBFC59"/>
    <w:rsid w:val="7B5E9FB5"/>
    <w:rsid w:val="7BAF6710"/>
    <w:rsid w:val="7BE1272E"/>
    <w:rsid w:val="7C5BD104"/>
    <w:rsid w:val="7D9F1FD2"/>
    <w:rsid w:val="7DFAF7B4"/>
    <w:rsid w:val="7DFFC870"/>
    <w:rsid w:val="7F7BF5AD"/>
    <w:rsid w:val="7F7EB2AF"/>
    <w:rsid w:val="7FED1700"/>
    <w:rsid w:val="7FEDE957"/>
    <w:rsid w:val="7FF5C64A"/>
    <w:rsid w:val="7FF7393A"/>
    <w:rsid w:val="7FFBEE90"/>
    <w:rsid w:val="8DDA9A33"/>
    <w:rsid w:val="8F9F27CB"/>
    <w:rsid w:val="96AD73C5"/>
    <w:rsid w:val="97FF20AA"/>
    <w:rsid w:val="9FFF4FA4"/>
    <w:rsid w:val="A9FEABCF"/>
    <w:rsid w:val="ABFA4394"/>
    <w:rsid w:val="B78F6DE0"/>
    <w:rsid w:val="D6FBF305"/>
    <w:rsid w:val="DCD27533"/>
    <w:rsid w:val="DFC3ECE9"/>
    <w:rsid w:val="EEF254CB"/>
    <w:rsid w:val="F1F5E634"/>
    <w:rsid w:val="F2FEC2EF"/>
    <w:rsid w:val="F3C68E2B"/>
    <w:rsid w:val="F3E838DE"/>
    <w:rsid w:val="F75FC132"/>
    <w:rsid w:val="F7FD0E39"/>
    <w:rsid w:val="F7FD5E29"/>
    <w:rsid w:val="F9B773B3"/>
    <w:rsid w:val="F9FF7E73"/>
    <w:rsid w:val="FA701602"/>
    <w:rsid w:val="FBF45707"/>
    <w:rsid w:val="FCBF34CD"/>
    <w:rsid w:val="FDBDE2D4"/>
    <w:rsid w:val="FDE12423"/>
    <w:rsid w:val="FDEA356A"/>
    <w:rsid w:val="FEFA4513"/>
    <w:rsid w:val="FF77D05E"/>
    <w:rsid w:val="FFD8B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8"/>
      <w:szCs w:val="2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0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1882</Words>
  <Characters>1946</Characters>
  <Lines>9</Lines>
  <Paragraphs>2</Paragraphs>
  <TotalTime>20</TotalTime>
  <ScaleCrop>false</ScaleCrop>
  <LinksUpToDate>false</LinksUpToDate>
  <CharactersWithSpaces>1967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2024-10-26T15:25:00Z</dcterms:created>
  <dc:creator>施吉利</dc:creator>
  <cp:lastModifiedBy>施吉利</cp:lastModifiedBy>
  <dcterms:modified xsi:type="dcterms:W3CDTF">2026-01-15T00:42:25Z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FA09C7094775481293CED0A5A3675AE7_13</vt:lpwstr>
  </property>
  <property fmtid="{D5CDD505-2E9C-101B-9397-08002B2CF9AE}" pid="4" name="KSOTemplateDocerSaveRecord">
    <vt:lpwstr>eyJoZGlkIjoiNzk0ZTk0MjFlZTQ0YWFhNmNhNjViMjQ0ZmE4NGIwOGMiLCJ1c2VySWQiOiIxNDU4NzEzMTYxIn0=</vt:lpwstr>
  </property>
</Properties>
</file>