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2B4E130">
      <w:pPr>
        <w:pStyle w:val="2"/>
        <w:numPr>
          <w:ilvl w:val="0"/>
          <w:numId w:val="0"/>
        </w:numPr>
        <w:bidi w:val="0"/>
        <w:ind w:leftChars="0"/>
        <w:jc w:val="center"/>
        <w:rPr>
          <w:rFonts w:hint="eastAsia" w:ascii="黑体" w:hAnsi="黑体" w:eastAsia="黑体" w:cs="黑体"/>
          <w:sz w:val="36"/>
          <w:szCs w:val="36"/>
          <w:lang w:eastAsia="zh-CN"/>
        </w:rPr>
      </w:pPr>
      <w:r>
        <w:rPr>
          <w:rFonts w:hint="eastAsia" w:ascii="黑体" w:hAnsi="黑体" w:eastAsia="黑体" w:cs="黑体"/>
          <w:sz w:val="36"/>
          <w:szCs w:val="36"/>
          <w:lang w:eastAsia="zh-CN"/>
        </w:rPr>
        <w:t>江苏省第二中医院</w:t>
      </w:r>
    </w:p>
    <w:p w14:paraId="4C3236D6">
      <w:pPr>
        <w:pStyle w:val="2"/>
        <w:numPr>
          <w:ilvl w:val="0"/>
          <w:numId w:val="0"/>
        </w:numPr>
        <w:bidi w:val="0"/>
        <w:ind w:leftChars="0"/>
        <w:jc w:val="center"/>
        <w:rPr>
          <w:rFonts w:hint="eastAsia" w:ascii="黑体" w:hAnsi="黑体" w:eastAsia="黑体" w:cs="黑体"/>
          <w:sz w:val="36"/>
          <w:szCs w:val="36"/>
          <w:lang w:eastAsia="zh-CN"/>
        </w:rPr>
      </w:pPr>
      <w:r>
        <w:rPr>
          <w:rFonts w:hint="eastAsia" w:ascii="黑体" w:hAnsi="黑体" w:eastAsia="黑体" w:cs="黑体"/>
          <w:sz w:val="36"/>
          <w:szCs w:val="36"/>
          <w:lang w:eastAsia="zh-Hans"/>
        </w:rPr>
        <w:t>省医疗服务综合监管系统</w:t>
      </w:r>
      <w:r>
        <w:rPr>
          <w:rFonts w:hint="eastAsia" w:ascii="黑体" w:hAnsi="黑体" w:eastAsia="黑体" w:cs="黑体"/>
          <w:sz w:val="36"/>
          <w:szCs w:val="36"/>
          <w:lang w:eastAsia="zh-CN"/>
        </w:rPr>
        <w:t>采集</w:t>
      </w:r>
      <w:r>
        <w:rPr>
          <w:rFonts w:hint="eastAsia" w:ascii="黑体" w:hAnsi="黑体" w:eastAsia="黑体" w:cs="黑体"/>
          <w:sz w:val="36"/>
          <w:szCs w:val="36"/>
          <w:lang w:eastAsia="zh-Hans"/>
        </w:rPr>
        <w:t>服务</w:t>
      </w:r>
      <w:r>
        <w:rPr>
          <w:rFonts w:hint="eastAsia" w:ascii="黑体" w:hAnsi="黑体" w:eastAsia="黑体" w:cs="黑体"/>
          <w:sz w:val="36"/>
          <w:szCs w:val="36"/>
        </w:rPr>
        <w:t>项目</w:t>
      </w:r>
      <w:r>
        <w:rPr>
          <w:rFonts w:hint="eastAsia" w:ascii="黑体" w:hAnsi="黑体" w:eastAsia="黑体" w:cs="黑体"/>
          <w:sz w:val="36"/>
          <w:szCs w:val="36"/>
          <w:lang w:eastAsia="zh-CN"/>
        </w:rPr>
        <w:t>建设内容</w:t>
      </w:r>
    </w:p>
    <w:p w14:paraId="23DB9A72">
      <w:pPr>
        <w:pStyle w:val="2"/>
        <w:numPr>
          <w:numId w:val="0"/>
        </w:numPr>
        <w:bidi w:val="0"/>
        <w:ind w:leftChars="0"/>
        <w:rPr>
          <w:rFonts w:hint="eastAsia" w:ascii="仿宋" w:hAnsi="仿宋" w:eastAsia="仿宋" w:cs="仿宋"/>
          <w:sz w:val="32"/>
          <w:szCs w:val="32"/>
          <w:lang w:eastAsia="zh-Hans"/>
        </w:rPr>
      </w:pPr>
    </w:p>
    <w:p w14:paraId="688E0947">
      <w:pPr>
        <w:pStyle w:val="2"/>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项目服务清单</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0"/>
        <w:gridCol w:w="2128"/>
        <w:gridCol w:w="4513"/>
        <w:gridCol w:w="1092"/>
      </w:tblGrid>
      <w:tr w14:paraId="4155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trPr>
        <w:tc>
          <w:tcPr>
            <w:tcW w:w="360" w:type="pct"/>
            <w:tcMar>
              <w:top w:w="15" w:type="dxa"/>
              <w:left w:w="15" w:type="dxa"/>
              <w:right w:w="15" w:type="dxa"/>
            </w:tcMar>
            <w:vAlign w:val="center"/>
          </w:tcPr>
          <w:p w14:paraId="5B914FE2">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kern w:val="0"/>
                <w:sz w:val="32"/>
                <w:szCs w:val="32"/>
                <w:lang w:bidi="ar"/>
              </w:rPr>
              <w:t>序号</w:t>
            </w:r>
          </w:p>
        </w:tc>
        <w:tc>
          <w:tcPr>
            <w:tcW w:w="1276" w:type="pct"/>
            <w:tcMar>
              <w:top w:w="15" w:type="dxa"/>
              <w:left w:w="15" w:type="dxa"/>
              <w:right w:w="15" w:type="dxa"/>
            </w:tcMar>
            <w:vAlign w:val="center"/>
          </w:tcPr>
          <w:p w14:paraId="6F000114">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kern w:val="0"/>
                <w:sz w:val="32"/>
                <w:szCs w:val="32"/>
                <w:lang w:bidi="ar"/>
              </w:rPr>
              <w:t>类别</w:t>
            </w:r>
          </w:p>
        </w:tc>
        <w:tc>
          <w:tcPr>
            <w:tcW w:w="2707" w:type="pct"/>
            <w:tcMar>
              <w:top w:w="15" w:type="dxa"/>
              <w:left w:w="15" w:type="dxa"/>
              <w:right w:w="15" w:type="dxa"/>
            </w:tcMar>
            <w:vAlign w:val="center"/>
          </w:tcPr>
          <w:p w14:paraId="4488DD57">
            <w:pPr>
              <w:widowControl/>
              <w:ind w:firstLine="0" w:firstLineChars="0"/>
              <w:jc w:val="center"/>
              <w:textAlignment w:val="center"/>
              <w:rPr>
                <w:rFonts w:hint="eastAsia" w:ascii="仿宋" w:hAnsi="仿宋" w:eastAsia="仿宋" w:cs="仿宋"/>
                <w:bCs/>
                <w:color w:val="000000"/>
                <w:kern w:val="0"/>
                <w:sz w:val="32"/>
                <w:szCs w:val="32"/>
                <w:lang w:eastAsia="zh-Hans" w:bidi="ar"/>
              </w:rPr>
            </w:pPr>
            <w:r>
              <w:rPr>
                <w:rFonts w:hint="eastAsia" w:ascii="仿宋" w:hAnsi="仿宋" w:eastAsia="仿宋" w:cs="仿宋"/>
                <w:bCs/>
                <w:color w:val="000000"/>
                <w:kern w:val="0"/>
                <w:sz w:val="32"/>
                <w:szCs w:val="32"/>
                <w:lang w:eastAsia="zh-Hans" w:bidi="ar"/>
              </w:rPr>
              <w:t>模块</w:t>
            </w:r>
          </w:p>
        </w:tc>
        <w:tc>
          <w:tcPr>
            <w:tcW w:w="655" w:type="pct"/>
            <w:tcMar>
              <w:top w:w="15" w:type="dxa"/>
              <w:left w:w="15" w:type="dxa"/>
              <w:right w:w="15" w:type="dxa"/>
            </w:tcMar>
            <w:vAlign w:val="center"/>
          </w:tcPr>
          <w:p w14:paraId="4910556B">
            <w:pPr>
              <w:widowControl/>
              <w:ind w:firstLine="0" w:firstLineChars="0"/>
              <w:jc w:val="center"/>
              <w:textAlignment w:val="center"/>
              <w:rPr>
                <w:rFonts w:hint="eastAsia" w:ascii="仿宋" w:hAnsi="仿宋" w:eastAsia="仿宋" w:cs="仿宋"/>
                <w:bCs/>
                <w:color w:val="000000"/>
                <w:kern w:val="0"/>
                <w:sz w:val="32"/>
                <w:szCs w:val="32"/>
                <w:lang w:eastAsia="zh-Hans" w:bidi="ar"/>
              </w:rPr>
            </w:pPr>
            <w:r>
              <w:rPr>
                <w:rFonts w:hint="eastAsia" w:ascii="仿宋" w:hAnsi="仿宋" w:eastAsia="仿宋" w:cs="仿宋"/>
                <w:bCs/>
                <w:color w:val="000000"/>
                <w:kern w:val="0"/>
                <w:sz w:val="32"/>
                <w:szCs w:val="32"/>
                <w:lang w:eastAsia="zh-Hans" w:bidi="ar"/>
              </w:rPr>
              <w:t>实施周期</w:t>
            </w:r>
          </w:p>
        </w:tc>
      </w:tr>
      <w:tr w14:paraId="49B7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0" w:type="pct"/>
            <w:tcMar>
              <w:top w:w="15" w:type="dxa"/>
              <w:left w:w="15" w:type="dxa"/>
              <w:right w:w="15" w:type="dxa"/>
            </w:tcMar>
            <w:vAlign w:val="center"/>
          </w:tcPr>
          <w:p w14:paraId="172694FE">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kern w:val="0"/>
                <w:sz w:val="32"/>
                <w:szCs w:val="32"/>
                <w:lang w:bidi="ar"/>
              </w:rPr>
              <w:t>1</w:t>
            </w:r>
          </w:p>
        </w:tc>
        <w:tc>
          <w:tcPr>
            <w:tcW w:w="1276" w:type="pct"/>
            <w:tcMar>
              <w:top w:w="15" w:type="dxa"/>
              <w:left w:w="15" w:type="dxa"/>
              <w:right w:w="15" w:type="dxa"/>
            </w:tcMar>
            <w:vAlign w:val="center"/>
          </w:tcPr>
          <w:p w14:paraId="79B66F28">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kern w:val="0"/>
                <w:sz w:val="32"/>
                <w:szCs w:val="32"/>
                <w:lang w:bidi="ar"/>
              </w:rPr>
              <w:t>新建上传业务流</w:t>
            </w:r>
          </w:p>
        </w:tc>
        <w:tc>
          <w:tcPr>
            <w:tcW w:w="2707" w:type="pct"/>
            <w:tcMar>
              <w:top w:w="15" w:type="dxa"/>
              <w:left w:w="15" w:type="dxa"/>
              <w:right w:w="15" w:type="dxa"/>
            </w:tcMar>
            <w:vAlign w:val="center"/>
          </w:tcPr>
          <w:p w14:paraId="3184F1D9">
            <w:pPr>
              <w:widowControl/>
              <w:ind w:firstLine="0" w:firstLineChars="0"/>
              <w:jc w:val="left"/>
              <w:textAlignment w:val="center"/>
              <w:rPr>
                <w:rFonts w:hint="eastAsia" w:ascii="仿宋" w:hAnsi="仿宋" w:eastAsia="仿宋" w:cs="仿宋"/>
                <w:bCs/>
                <w:color w:val="000000"/>
                <w:kern w:val="0"/>
                <w:sz w:val="32"/>
                <w:szCs w:val="32"/>
                <w:lang w:eastAsia="zh-Hans" w:bidi="ar"/>
              </w:rPr>
            </w:pPr>
            <w:r>
              <w:rPr>
                <w:rFonts w:hint="eastAsia" w:ascii="仿宋" w:hAnsi="仿宋" w:eastAsia="仿宋" w:cs="仿宋"/>
                <w:bCs/>
                <w:color w:val="000000"/>
                <w:kern w:val="0"/>
                <w:sz w:val="32"/>
                <w:szCs w:val="32"/>
                <w:lang w:eastAsia="zh-Hans" w:bidi="ar"/>
              </w:rPr>
              <w:t>新建（含检查）</w:t>
            </w:r>
            <w:r>
              <w:rPr>
                <w:rFonts w:hint="eastAsia" w:ascii="仿宋" w:hAnsi="仿宋" w:eastAsia="仿宋" w:cs="仿宋"/>
                <w:bCs/>
                <w:color w:val="000000"/>
                <w:kern w:val="0"/>
                <w:sz w:val="32"/>
                <w:szCs w:val="32"/>
                <w:lang w:val="en-US" w:eastAsia="zh-CN" w:bidi="ar"/>
              </w:rPr>
              <w:t>43</w:t>
            </w:r>
            <w:r>
              <w:rPr>
                <w:rFonts w:hint="eastAsia" w:ascii="仿宋" w:hAnsi="仿宋" w:eastAsia="仿宋" w:cs="仿宋"/>
                <w:bCs/>
                <w:color w:val="000000"/>
                <w:kern w:val="0"/>
                <w:sz w:val="32"/>
                <w:szCs w:val="32"/>
                <w:lang w:eastAsia="zh-Hans" w:bidi="ar"/>
              </w:rPr>
              <w:t>张表数据上传业务流，确保新系统上线后的数据可以增量上传至省厅中心库。</w:t>
            </w:r>
          </w:p>
        </w:tc>
        <w:tc>
          <w:tcPr>
            <w:tcW w:w="655" w:type="pct"/>
            <w:vMerge w:val="restart"/>
            <w:tcMar>
              <w:top w:w="15" w:type="dxa"/>
              <w:left w:w="15" w:type="dxa"/>
              <w:right w:w="15" w:type="dxa"/>
            </w:tcMar>
            <w:vAlign w:val="center"/>
          </w:tcPr>
          <w:p w14:paraId="07EA39B8">
            <w:pPr>
              <w:widowControl/>
              <w:ind w:firstLine="0" w:firstLineChars="0"/>
              <w:jc w:val="center"/>
              <w:textAlignment w:val="center"/>
              <w:rPr>
                <w:rFonts w:hint="eastAsia" w:ascii="仿宋" w:hAnsi="仿宋" w:eastAsia="仿宋" w:cs="仿宋"/>
                <w:bCs/>
                <w:color w:val="000000"/>
                <w:kern w:val="0"/>
                <w:sz w:val="32"/>
                <w:szCs w:val="32"/>
                <w:lang w:bidi="ar"/>
              </w:rPr>
            </w:pPr>
            <w:r>
              <w:rPr>
                <w:rFonts w:hint="eastAsia" w:ascii="仿宋" w:hAnsi="仿宋" w:eastAsia="仿宋" w:cs="仿宋"/>
                <w:bCs/>
                <w:color w:val="000000"/>
                <w:kern w:val="0"/>
                <w:sz w:val="32"/>
                <w:szCs w:val="32"/>
                <w:lang w:eastAsia="zh-Hans" w:bidi="ar"/>
              </w:rPr>
              <w:t>1年</w:t>
            </w:r>
          </w:p>
        </w:tc>
      </w:tr>
      <w:tr w14:paraId="778E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0" w:type="pct"/>
            <w:tcMar>
              <w:top w:w="15" w:type="dxa"/>
              <w:left w:w="15" w:type="dxa"/>
              <w:right w:w="15" w:type="dxa"/>
            </w:tcMar>
            <w:vAlign w:val="center"/>
          </w:tcPr>
          <w:p w14:paraId="7E3E905F">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sz w:val="32"/>
                <w:szCs w:val="32"/>
              </w:rPr>
              <w:t>2</w:t>
            </w:r>
          </w:p>
        </w:tc>
        <w:tc>
          <w:tcPr>
            <w:tcW w:w="1276" w:type="pct"/>
            <w:tcMar>
              <w:top w:w="15" w:type="dxa"/>
              <w:left w:w="15" w:type="dxa"/>
              <w:right w:w="15" w:type="dxa"/>
            </w:tcMar>
            <w:vAlign w:val="center"/>
          </w:tcPr>
          <w:p w14:paraId="13453A8B">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sz w:val="32"/>
                <w:szCs w:val="32"/>
              </w:rPr>
              <w:t>老系统数据补传</w:t>
            </w:r>
          </w:p>
        </w:tc>
        <w:tc>
          <w:tcPr>
            <w:tcW w:w="2707" w:type="pct"/>
            <w:tcMar>
              <w:top w:w="15" w:type="dxa"/>
              <w:left w:w="15" w:type="dxa"/>
              <w:right w:w="15" w:type="dxa"/>
            </w:tcMar>
            <w:vAlign w:val="center"/>
          </w:tcPr>
          <w:p w14:paraId="5BCE9475">
            <w:pPr>
              <w:widowControl/>
              <w:ind w:firstLine="0" w:firstLineChars="0"/>
              <w:textAlignment w:val="center"/>
              <w:rPr>
                <w:rFonts w:hint="eastAsia" w:ascii="仿宋" w:hAnsi="仿宋" w:eastAsia="仿宋" w:cs="仿宋"/>
                <w:bCs/>
                <w:color w:val="000000"/>
                <w:sz w:val="32"/>
                <w:szCs w:val="32"/>
                <w:lang w:eastAsia="zh-Hans"/>
              </w:rPr>
            </w:pPr>
            <w:r>
              <w:rPr>
                <w:rFonts w:hint="eastAsia" w:ascii="仿宋" w:hAnsi="仿宋" w:eastAsia="仿宋" w:cs="仿宋"/>
                <w:bCs/>
                <w:color w:val="000000"/>
                <w:sz w:val="32"/>
                <w:szCs w:val="32"/>
                <w:lang w:eastAsia="zh-Hans"/>
              </w:rPr>
              <w:t>检查20</w:t>
            </w:r>
            <w:r>
              <w:rPr>
                <w:rFonts w:hint="eastAsia" w:ascii="仿宋" w:hAnsi="仿宋" w:eastAsia="仿宋" w:cs="仿宋"/>
                <w:bCs/>
                <w:color w:val="000000"/>
                <w:sz w:val="32"/>
                <w:szCs w:val="32"/>
                <w:lang w:val="en-US" w:eastAsia="zh-CN"/>
              </w:rPr>
              <w:t>19</w:t>
            </w:r>
            <w:r>
              <w:rPr>
                <w:rFonts w:hint="eastAsia" w:ascii="仿宋" w:hAnsi="仿宋" w:eastAsia="仿宋" w:cs="仿宋"/>
                <w:bCs/>
                <w:color w:val="000000"/>
                <w:sz w:val="32"/>
                <w:szCs w:val="32"/>
                <w:lang w:eastAsia="zh-Hans"/>
              </w:rPr>
              <w:t>年至新系统上线前的33张表是否有数据遗漏，进行数据补传。</w:t>
            </w:r>
          </w:p>
        </w:tc>
        <w:tc>
          <w:tcPr>
            <w:tcW w:w="655" w:type="pct"/>
            <w:vMerge w:val="continue"/>
            <w:tcMar>
              <w:top w:w="15" w:type="dxa"/>
              <w:left w:w="15" w:type="dxa"/>
              <w:right w:w="15" w:type="dxa"/>
            </w:tcMar>
            <w:vAlign w:val="center"/>
          </w:tcPr>
          <w:p w14:paraId="6729A3F0">
            <w:pPr>
              <w:widowControl/>
              <w:ind w:firstLine="420"/>
              <w:jc w:val="center"/>
              <w:textAlignment w:val="center"/>
              <w:rPr>
                <w:rFonts w:hint="eastAsia" w:ascii="仿宋" w:hAnsi="仿宋" w:eastAsia="仿宋" w:cs="仿宋"/>
                <w:bCs/>
                <w:color w:val="000000"/>
                <w:sz w:val="32"/>
                <w:szCs w:val="32"/>
              </w:rPr>
            </w:pPr>
          </w:p>
        </w:tc>
      </w:tr>
      <w:tr w14:paraId="018D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0" w:type="pct"/>
            <w:tcMar>
              <w:top w:w="15" w:type="dxa"/>
              <w:left w:w="15" w:type="dxa"/>
              <w:right w:w="15" w:type="dxa"/>
            </w:tcMar>
            <w:vAlign w:val="center"/>
          </w:tcPr>
          <w:p w14:paraId="265FB82F">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sz w:val="32"/>
                <w:szCs w:val="32"/>
              </w:rPr>
              <w:t>3</w:t>
            </w:r>
          </w:p>
        </w:tc>
        <w:tc>
          <w:tcPr>
            <w:tcW w:w="1276" w:type="pct"/>
            <w:tcMar>
              <w:top w:w="15" w:type="dxa"/>
              <w:left w:w="15" w:type="dxa"/>
              <w:right w:w="15" w:type="dxa"/>
            </w:tcMar>
            <w:vAlign w:val="center"/>
          </w:tcPr>
          <w:p w14:paraId="35780491">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kern w:val="0"/>
                <w:sz w:val="32"/>
                <w:szCs w:val="32"/>
                <w:lang w:bidi="ar"/>
              </w:rPr>
              <w:t>数据清理与补传</w:t>
            </w:r>
          </w:p>
        </w:tc>
        <w:tc>
          <w:tcPr>
            <w:tcW w:w="2707" w:type="pct"/>
            <w:tcMar>
              <w:top w:w="15" w:type="dxa"/>
              <w:left w:w="15" w:type="dxa"/>
              <w:right w:w="15" w:type="dxa"/>
            </w:tcMar>
            <w:vAlign w:val="center"/>
          </w:tcPr>
          <w:p w14:paraId="58EDA9CC">
            <w:pPr>
              <w:widowControl/>
              <w:ind w:firstLine="0" w:firstLineChars="0"/>
              <w:textAlignment w:val="center"/>
              <w:rPr>
                <w:rFonts w:hint="eastAsia" w:ascii="仿宋" w:hAnsi="仿宋" w:eastAsia="仿宋" w:cs="仿宋"/>
                <w:sz w:val="32"/>
                <w:szCs w:val="32"/>
                <w:lang w:eastAsia="zh-Hans"/>
              </w:rPr>
            </w:pPr>
            <w:r>
              <w:rPr>
                <w:rFonts w:hint="eastAsia" w:ascii="仿宋" w:hAnsi="仿宋" w:eastAsia="仿宋" w:cs="仿宋"/>
                <w:sz w:val="32"/>
                <w:szCs w:val="32"/>
                <w:lang w:eastAsia="zh-Hans"/>
              </w:rPr>
              <w:t>新老系统过度期间数据补传；</w:t>
            </w:r>
          </w:p>
          <w:p w14:paraId="37F1AAF1">
            <w:pPr>
              <w:widowControl/>
              <w:ind w:firstLine="0" w:firstLineChars="0"/>
              <w:textAlignment w:val="center"/>
              <w:rPr>
                <w:rFonts w:hint="eastAsia" w:ascii="仿宋" w:hAnsi="仿宋" w:eastAsia="仿宋" w:cs="仿宋"/>
                <w:sz w:val="32"/>
                <w:szCs w:val="32"/>
                <w:lang w:eastAsia="zh-Hans"/>
              </w:rPr>
            </w:pPr>
            <w:r>
              <w:rPr>
                <w:rFonts w:hint="eastAsia" w:ascii="仿宋" w:hAnsi="仿宋" w:eastAsia="仿宋" w:cs="仿宋"/>
                <w:sz w:val="32"/>
                <w:szCs w:val="32"/>
                <w:lang w:eastAsia="zh-Hans"/>
              </w:rPr>
              <w:t>新系统上线后到双方合同签订期间数据补传。</w:t>
            </w:r>
          </w:p>
        </w:tc>
        <w:tc>
          <w:tcPr>
            <w:tcW w:w="655" w:type="pct"/>
            <w:vMerge w:val="continue"/>
            <w:tcMar>
              <w:top w:w="15" w:type="dxa"/>
              <w:left w:w="15" w:type="dxa"/>
              <w:right w:w="15" w:type="dxa"/>
            </w:tcMar>
            <w:vAlign w:val="center"/>
          </w:tcPr>
          <w:p w14:paraId="72D7224F">
            <w:pPr>
              <w:widowControl/>
              <w:ind w:firstLine="420"/>
              <w:jc w:val="center"/>
              <w:textAlignment w:val="center"/>
              <w:rPr>
                <w:rFonts w:hint="eastAsia" w:ascii="仿宋" w:hAnsi="仿宋" w:eastAsia="仿宋" w:cs="仿宋"/>
                <w:bCs/>
                <w:color w:val="000000"/>
                <w:kern w:val="0"/>
                <w:sz w:val="32"/>
                <w:szCs w:val="32"/>
                <w:lang w:bidi="ar"/>
              </w:rPr>
            </w:pPr>
          </w:p>
        </w:tc>
      </w:tr>
      <w:tr w14:paraId="6AC9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0" w:type="pct"/>
            <w:tcMar>
              <w:top w:w="15" w:type="dxa"/>
              <w:left w:w="15" w:type="dxa"/>
              <w:right w:w="15" w:type="dxa"/>
            </w:tcMar>
            <w:vAlign w:val="center"/>
          </w:tcPr>
          <w:p w14:paraId="6548B642">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sz w:val="32"/>
                <w:szCs w:val="32"/>
              </w:rPr>
              <w:t>4</w:t>
            </w:r>
          </w:p>
        </w:tc>
        <w:tc>
          <w:tcPr>
            <w:tcW w:w="1276" w:type="pct"/>
            <w:tcMar>
              <w:top w:w="15" w:type="dxa"/>
              <w:left w:w="15" w:type="dxa"/>
              <w:right w:w="15" w:type="dxa"/>
            </w:tcMar>
            <w:vAlign w:val="center"/>
          </w:tcPr>
          <w:p w14:paraId="2DB935CA">
            <w:pPr>
              <w:widowControl/>
              <w:ind w:firstLine="0" w:firstLineChars="0"/>
              <w:jc w:val="center"/>
              <w:textAlignment w:val="center"/>
              <w:rPr>
                <w:rFonts w:hint="eastAsia" w:ascii="仿宋" w:hAnsi="仿宋" w:eastAsia="仿宋" w:cs="仿宋"/>
                <w:bCs/>
                <w:color w:val="000000"/>
                <w:sz w:val="32"/>
                <w:szCs w:val="32"/>
              </w:rPr>
            </w:pPr>
            <w:r>
              <w:rPr>
                <w:rFonts w:hint="eastAsia" w:ascii="仿宋" w:hAnsi="仿宋" w:eastAsia="仿宋" w:cs="仿宋"/>
                <w:bCs/>
                <w:color w:val="000000"/>
                <w:kern w:val="0"/>
                <w:sz w:val="32"/>
                <w:szCs w:val="32"/>
                <w:lang w:bidi="ar"/>
              </w:rPr>
              <w:t>数据检查与上传</w:t>
            </w:r>
          </w:p>
        </w:tc>
        <w:tc>
          <w:tcPr>
            <w:tcW w:w="2707" w:type="pct"/>
            <w:tcMar>
              <w:top w:w="15" w:type="dxa"/>
              <w:left w:w="15" w:type="dxa"/>
              <w:right w:w="15" w:type="dxa"/>
            </w:tcMar>
            <w:vAlign w:val="center"/>
          </w:tcPr>
          <w:p w14:paraId="6D4A3F4B">
            <w:pPr>
              <w:widowControl/>
              <w:ind w:firstLine="0" w:firstLineChars="0"/>
              <w:textAlignment w:val="center"/>
              <w:rPr>
                <w:rFonts w:hint="eastAsia" w:ascii="仿宋" w:hAnsi="仿宋" w:eastAsia="仿宋" w:cs="仿宋"/>
                <w:bCs/>
                <w:color w:val="000000"/>
                <w:kern w:val="0"/>
                <w:sz w:val="32"/>
                <w:szCs w:val="32"/>
                <w:lang w:eastAsia="zh-Hans" w:bidi="ar"/>
              </w:rPr>
            </w:pPr>
            <w:r>
              <w:rPr>
                <w:rFonts w:hint="eastAsia" w:ascii="仿宋" w:hAnsi="仿宋" w:eastAsia="仿宋" w:cs="仿宋"/>
                <w:bCs/>
                <w:color w:val="000000"/>
                <w:kern w:val="0"/>
                <w:sz w:val="32"/>
                <w:szCs w:val="32"/>
                <w:lang w:eastAsia="zh-Hans" w:bidi="ar"/>
              </w:rPr>
              <w:t>开启每天定时数据检查与上传。</w:t>
            </w:r>
          </w:p>
        </w:tc>
        <w:tc>
          <w:tcPr>
            <w:tcW w:w="655" w:type="pct"/>
            <w:vMerge w:val="continue"/>
            <w:tcMar>
              <w:top w:w="15" w:type="dxa"/>
              <w:left w:w="15" w:type="dxa"/>
              <w:right w:w="15" w:type="dxa"/>
            </w:tcMar>
            <w:vAlign w:val="center"/>
          </w:tcPr>
          <w:p w14:paraId="01708C36">
            <w:pPr>
              <w:widowControl/>
              <w:ind w:firstLine="420"/>
              <w:jc w:val="center"/>
              <w:textAlignment w:val="center"/>
              <w:rPr>
                <w:rFonts w:hint="eastAsia" w:ascii="仿宋" w:hAnsi="仿宋" w:eastAsia="仿宋" w:cs="仿宋"/>
                <w:bCs/>
                <w:color w:val="000000"/>
                <w:kern w:val="0"/>
                <w:sz w:val="32"/>
                <w:szCs w:val="32"/>
                <w:lang w:bidi="ar"/>
              </w:rPr>
            </w:pPr>
          </w:p>
        </w:tc>
      </w:tr>
      <w:tr w14:paraId="242B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0" w:type="pct"/>
            <w:tcMar>
              <w:top w:w="15" w:type="dxa"/>
              <w:left w:w="15" w:type="dxa"/>
              <w:right w:w="15" w:type="dxa"/>
            </w:tcMar>
            <w:vAlign w:val="center"/>
          </w:tcPr>
          <w:p w14:paraId="51092CF1">
            <w:pPr>
              <w:widowControl/>
              <w:ind w:firstLine="0" w:firstLineChars="0"/>
              <w:jc w:val="center"/>
              <w:textAlignment w:val="center"/>
              <w:rPr>
                <w:rFonts w:hint="eastAsia" w:ascii="仿宋" w:hAnsi="仿宋" w:eastAsia="仿宋" w:cs="仿宋"/>
                <w:bCs/>
                <w:color w:val="000000"/>
                <w:kern w:val="0"/>
                <w:sz w:val="32"/>
                <w:szCs w:val="32"/>
                <w:lang w:bidi="ar"/>
              </w:rPr>
            </w:pPr>
            <w:r>
              <w:rPr>
                <w:rFonts w:hint="eastAsia" w:ascii="仿宋" w:hAnsi="仿宋" w:eastAsia="仿宋" w:cs="仿宋"/>
                <w:bCs/>
                <w:color w:val="000000"/>
                <w:kern w:val="0"/>
                <w:sz w:val="32"/>
                <w:szCs w:val="32"/>
                <w:lang w:bidi="ar"/>
              </w:rPr>
              <w:t>5</w:t>
            </w:r>
          </w:p>
        </w:tc>
        <w:tc>
          <w:tcPr>
            <w:tcW w:w="1276" w:type="pct"/>
            <w:tcMar>
              <w:top w:w="15" w:type="dxa"/>
              <w:left w:w="15" w:type="dxa"/>
              <w:right w:w="15" w:type="dxa"/>
            </w:tcMar>
            <w:vAlign w:val="center"/>
          </w:tcPr>
          <w:p w14:paraId="6A622A89">
            <w:pPr>
              <w:widowControl/>
              <w:ind w:firstLine="0" w:firstLineChars="0"/>
              <w:jc w:val="center"/>
              <w:textAlignment w:val="center"/>
              <w:rPr>
                <w:rFonts w:hint="eastAsia" w:ascii="仿宋" w:hAnsi="仿宋" w:eastAsia="仿宋" w:cs="仿宋"/>
                <w:bCs/>
                <w:kern w:val="0"/>
                <w:sz w:val="32"/>
                <w:szCs w:val="32"/>
              </w:rPr>
            </w:pPr>
            <w:r>
              <w:rPr>
                <w:rFonts w:hint="eastAsia" w:ascii="仿宋" w:hAnsi="仿宋" w:eastAsia="仿宋" w:cs="仿宋"/>
                <w:bCs/>
                <w:kern w:val="0"/>
                <w:sz w:val="32"/>
                <w:szCs w:val="32"/>
              </w:rPr>
              <w:t>数据量核对</w:t>
            </w:r>
          </w:p>
        </w:tc>
        <w:tc>
          <w:tcPr>
            <w:tcW w:w="2707" w:type="pct"/>
            <w:tcMar>
              <w:top w:w="15" w:type="dxa"/>
              <w:left w:w="15" w:type="dxa"/>
              <w:right w:w="15" w:type="dxa"/>
            </w:tcMar>
            <w:vAlign w:val="center"/>
          </w:tcPr>
          <w:p w14:paraId="08323DE7">
            <w:pPr>
              <w:widowControl/>
              <w:ind w:firstLine="0" w:firstLineChars="0"/>
              <w:textAlignment w:val="center"/>
              <w:rPr>
                <w:rFonts w:hint="eastAsia" w:ascii="仿宋" w:hAnsi="仿宋" w:eastAsia="仿宋" w:cs="仿宋"/>
                <w:bCs/>
                <w:color w:val="000000"/>
                <w:sz w:val="32"/>
                <w:szCs w:val="32"/>
                <w:lang w:eastAsia="zh-Hans"/>
              </w:rPr>
            </w:pPr>
            <w:r>
              <w:rPr>
                <w:rFonts w:hint="eastAsia" w:ascii="仿宋" w:hAnsi="仿宋" w:eastAsia="仿宋" w:cs="仿宋"/>
                <w:bCs/>
                <w:color w:val="000000"/>
                <w:sz w:val="32"/>
                <w:szCs w:val="32"/>
                <w:lang w:eastAsia="zh-Hans"/>
              </w:rPr>
              <w:t>从院端数据抽取、数据入库两个环节分析比较医院实际业务数据量和抽取后数据量比对，保证抽取后的数据量反应医院实际业务情况。</w:t>
            </w:r>
          </w:p>
          <w:p w14:paraId="43736D3D">
            <w:pPr>
              <w:pStyle w:val="20"/>
              <w:ind w:firstLine="0" w:firstLineChars="0"/>
              <w:rPr>
                <w:rFonts w:hint="eastAsia" w:ascii="仿宋" w:hAnsi="仿宋" w:eastAsia="仿宋" w:cs="仿宋"/>
                <w:sz w:val="32"/>
                <w:szCs w:val="32"/>
                <w:lang w:eastAsia="zh-Hans"/>
              </w:rPr>
            </w:pPr>
            <w:r>
              <w:rPr>
                <w:rFonts w:hint="eastAsia" w:ascii="仿宋" w:hAnsi="仿宋" w:eastAsia="仿宋" w:cs="仿宋"/>
                <w:bCs/>
                <w:color w:val="000000"/>
                <w:sz w:val="32"/>
                <w:szCs w:val="32"/>
                <w:lang w:eastAsia="zh-Hans"/>
              </w:rPr>
              <w:t>分析医疗监管平台（http://10.40.11.238:8089/jsms/）</w:t>
            </w:r>
          </w:p>
          <w:p w14:paraId="1B650C9D">
            <w:pPr>
              <w:widowControl/>
              <w:ind w:firstLine="0" w:firstLineChars="0"/>
              <w:textAlignment w:val="center"/>
              <w:rPr>
                <w:rFonts w:hint="eastAsia" w:ascii="仿宋" w:hAnsi="仿宋" w:eastAsia="仿宋" w:cs="仿宋"/>
                <w:sz w:val="32"/>
                <w:szCs w:val="32"/>
                <w:lang w:eastAsia="zh-Hans"/>
              </w:rPr>
            </w:pPr>
            <w:r>
              <w:rPr>
                <w:rFonts w:hint="eastAsia" w:ascii="仿宋" w:hAnsi="仿宋" w:eastAsia="仿宋" w:cs="仿宋"/>
                <w:bCs/>
                <w:color w:val="000000"/>
                <w:sz w:val="32"/>
                <w:szCs w:val="32"/>
                <w:lang w:eastAsia="zh-Hans"/>
              </w:rPr>
              <w:t>如数据表质量，表与表之间的关联性等问题，向医院提出整改建议。</w:t>
            </w:r>
          </w:p>
        </w:tc>
        <w:tc>
          <w:tcPr>
            <w:tcW w:w="655" w:type="pct"/>
            <w:vMerge w:val="continue"/>
            <w:tcMar>
              <w:top w:w="15" w:type="dxa"/>
              <w:left w:w="15" w:type="dxa"/>
              <w:right w:w="15" w:type="dxa"/>
            </w:tcMar>
            <w:vAlign w:val="center"/>
          </w:tcPr>
          <w:p w14:paraId="6A106438">
            <w:pPr>
              <w:widowControl/>
              <w:ind w:firstLine="420"/>
              <w:jc w:val="center"/>
              <w:textAlignment w:val="center"/>
              <w:rPr>
                <w:rFonts w:hint="eastAsia" w:ascii="仿宋" w:hAnsi="仿宋" w:eastAsia="仿宋" w:cs="仿宋"/>
                <w:bCs/>
                <w:kern w:val="0"/>
                <w:sz w:val="32"/>
                <w:szCs w:val="32"/>
              </w:rPr>
            </w:pPr>
          </w:p>
        </w:tc>
      </w:tr>
      <w:tr w14:paraId="7981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0" w:type="pct"/>
            <w:tcMar>
              <w:top w:w="15" w:type="dxa"/>
              <w:left w:w="15" w:type="dxa"/>
              <w:right w:w="15" w:type="dxa"/>
            </w:tcMar>
            <w:vAlign w:val="center"/>
          </w:tcPr>
          <w:p w14:paraId="50393696">
            <w:pPr>
              <w:widowControl/>
              <w:ind w:firstLine="0" w:firstLineChars="0"/>
              <w:jc w:val="center"/>
              <w:textAlignment w:val="center"/>
              <w:rPr>
                <w:rFonts w:hint="eastAsia" w:ascii="仿宋" w:hAnsi="仿宋" w:eastAsia="仿宋" w:cs="仿宋"/>
                <w:bCs/>
                <w:color w:val="000000"/>
                <w:kern w:val="0"/>
                <w:sz w:val="32"/>
                <w:szCs w:val="32"/>
                <w:lang w:bidi="ar"/>
              </w:rPr>
            </w:pPr>
            <w:r>
              <w:rPr>
                <w:rFonts w:hint="eastAsia" w:ascii="仿宋" w:hAnsi="仿宋" w:eastAsia="仿宋" w:cs="仿宋"/>
                <w:bCs/>
                <w:color w:val="000000"/>
                <w:kern w:val="0"/>
                <w:sz w:val="32"/>
                <w:szCs w:val="32"/>
                <w:lang w:bidi="ar"/>
              </w:rPr>
              <w:t>6</w:t>
            </w:r>
          </w:p>
        </w:tc>
        <w:tc>
          <w:tcPr>
            <w:tcW w:w="1276" w:type="pct"/>
            <w:tcMar>
              <w:top w:w="15" w:type="dxa"/>
              <w:left w:w="15" w:type="dxa"/>
              <w:right w:w="15" w:type="dxa"/>
            </w:tcMar>
            <w:vAlign w:val="center"/>
          </w:tcPr>
          <w:p w14:paraId="289FD393">
            <w:pPr>
              <w:widowControl/>
              <w:ind w:firstLine="0" w:firstLineChars="0"/>
              <w:jc w:val="center"/>
              <w:textAlignment w:val="center"/>
              <w:rPr>
                <w:rFonts w:hint="eastAsia" w:ascii="仿宋" w:hAnsi="仿宋" w:eastAsia="仿宋" w:cs="仿宋"/>
                <w:bCs/>
                <w:kern w:val="0"/>
                <w:sz w:val="32"/>
                <w:szCs w:val="32"/>
              </w:rPr>
            </w:pPr>
            <w:r>
              <w:rPr>
                <w:rFonts w:hint="eastAsia" w:ascii="仿宋" w:hAnsi="仿宋" w:eastAsia="仿宋" w:cs="仿宋"/>
                <w:bCs/>
                <w:kern w:val="0"/>
                <w:sz w:val="32"/>
                <w:szCs w:val="32"/>
              </w:rPr>
              <w:t>码表对照工具培训</w:t>
            </w:r>
          </w:p>
        </w:tc>
        <w:tc>
          <w:tcPr>
            <w:tcW w:w="2707" w:type="pct"/>
            <w:tcMar>
              <w:top w:w="15" w:type="dxa"/>
              <w:left w:w="15" w:type="dxa"/>
              <w:right w:w="15" w:type="dxa"/>
            </w:tcMar>
            <w:vAlign w:val="center"/>
          </w:tcPr>
          <w:p w14:paraId="09D57DB8">
            <w:pPr>
              <w:widowControl/>
              <w:ind w:firstLine="420"/>
              <w:textAlignment w:val="center"/>
              <w:rPr>
                <w:rFonts w:hint="eastAsia" w:ascii="仿宋" w:hAnsi="仿宋" w:eastAsia="仿宋" w:cs="仿宋"/>
                <w:bCs/>
                <w:kern w:val="0"/>
                <w:sz w:val="32"/>
                <w:szCs w:val="32"/>
                <w:lang w:eastAsia="zh-Hans"/>
              </w:rPr>
            </w:pPr>
            <w:r>
              <w:rPr>
                <w:rFonts w:hint="eastAsia" w:ascii="仿宋" w:hAnsi="仿宋" w:eastAsia="仿宋" w:cs="仿宋"/>
                <w:bCs/>
                <w:kern w:val="0"/>
                <w:sz w:val="32"/>
                <w:szCs w:val="32"/>
                <w:lang w:eastAsia="zh-Hans"/>
              </w:rPr>
              <w:t>辅助医院相关科室完成码表对照工作，培训对码工具的使用。</w:t>
            </w:r>
          </w:p>
        </w:tc>
        <w:tc>
          <w:tcPr>
            <w:tcW w:w="655" w:type="pct"/>
            <w:vMerge w:val="continue"/>
            <w:tcMar>
              <w:top w:w="15" w:type="dxa"/>
              <w:left w:w="15" w:type="dxa"/>
              <w:right w:w="15" w:type="dxa"/>
            </w:tcMar>
            <w:vAlign w:val="center"/>
          </w:tcPr>
          <w:p w14:paraId="3DF39C03">
            <w:pPr>
              <w:widowControl/>
              <w:ind w:firstLine="420"/>
              <w:jc w:val="center"/>
              <w:textAlignment w:val="center"/>
              <w:rPr>
                <w:rFonts w:hint="eastAsia" w:ascii="仿宋" w:hAnsi="仿宋" w:eastAsia="仿宋" w:cs="仿宋"/>
                <w:bCs/>
                <w:kern w:val="0"/>
                <w:sz w:val="32"/>
                <w:szCs w:val="32"/>
              </w:rPr>
            </w:pPr>
          </w:p>
        </w:tc>
      </w:tr>
      <w:tr w14:paraId="0C39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 w:hRule="atLeast"/>
        </w:trPr>
        <w:tc>
          <w:tcPr>
            <w:tcW w:w="360" w:type="pct"/>
            <w:tcMar>
              <w:top w:w="15" w:type="dxa"/>
              <w:left w:w="15" w:type="dxa"/>
              <w:right w:w="15" w:type="dxa"/>
            </w:tcMar>
            <w:vAlign w:val="center"/>
          </w:tcPr>
          <w:p w14:paraId="14FCC70A">
            <w:pPr>
              <w:widowControl/>
              <w:ind w:firstLine="0" w:firstLineChars="0"/>
              <w:jc w:val="center"/>
              <w:textAlignment w:val="center"/>
              <w:rPr>
                <w:rFonts w:hint="eastAsia" w:ascii="仿宋" w:hAnsi="仿宋" w:eastAsia="仿宋" w:cs="仿宋"/>
                <w:bCs/>
                <w:color w:val="000000"/>
                <w:kern w:val="0"/>
                <w:sz w:val="32"/>
                <w:szCs w:val="32"/>
                <w:lang w:bidi="ar"/>
              </w:rPr>
            </w:pPr>
            <w:r>
              <w:rPr>
                <w:rFonts w:hint="eastAsia" w:ascii="仿宋" w:hAnsi="仿宋" w:eastAsia="仿宋" w:cs="仿宋"/>
                <w:bCs/>
                <w:color w:val="000000"/>
                <w:kern w:val="0"/>
                <w:sz w:val="32"/>
                <w:szCs w:val="32"/>
                <w:lang w:bidi="ar"/>
              </w:rPr>
              <w:t>7</w:t>
            </w:r>
          </w:p>
        </w:tc>
        <w:tc>
          <w:tcPr>
            <w:tcW w:w="1276" w:type="pct"/>
            <w:tcMar>
              <w:top w:w="15" w:type="dxa"/>
              <w:left w:w="15" w:type="dxa"/>
              <w:right w:w="15" w:type="dxa"/>
            </w:tcMar>
            <w:vAlign w:val="center"/>
          </w:tcPr>
          <w:p w14:paraId="185EE992">
            <w:pPr>
              <w:widowControl/>
              <w:ind w:firstLine="0" w:firstLineChars="0"/>
              <w:jc w:val="center"/>
              <w:textAlignment w:val="center"/>
              <w:rPr>
                <w:rFonts w:hint="eastAsia" w:ascii="仿宋" w:hAnsi="仿宋" w:eastAsia="仿宋" w:cs="仿宋"/>
                <w:bCs/>
                <w:kern w:val="0"/>
                <w:sz w:val="32"/>
                <w:szCs w:val="32"/>
              </w:rPr>
            </w:pPr>
            <w:r>
              <w:rPr>
                <w:rFonts w:hint="eastAsia" w:ascii="仿宋" w:hAnsi="仿宋" w:eastAsia="仿宋" w:cs="仿宋"/>
                <w:bCs/>
                <w:kern w:val="0"/>
                <w:sz w:val="32"/>
                <w:szCs w:val="32"/>
              </w:rPr>
              <w:t>沟通协调</w:t>
            </w:r>
          </w:p>
        </w:tc>
        <w:tc>
          <w:tcPr>
            <w:tcW w:w="2707" w:type="pct"/>
            <w:tcMar>
              <w:top w:w="15" w:type="dxa"/>
              <w:left w:w="15" w:type="dxa"/>
              <w:right w:w="15" w:type="dxa"/>
            </w:tcMar>
            <w:vAlign w:val="center"/>
          </w:tcPr>
          <w:p w14:paraId="312B471C">
            <w:pPr>
              <w:widowControl/>
              <w:ind w:firstLine="420"/>
              <w:textAlignment w:val="center"/>
              <w:rPr>
                <w:rFonts w:hint="eastAsia" w:ascii="仿宋" w:hAnsi="仿宋" w:eastAsia="仿宋" w:cs="仿宋"/>
                <w:bCs/>
                <w:kern w:val="0"/>
                <w:sz w:val="32"/>
                <w:szCs w:val="32"/>
                <w:lang w:eastAsia="zh-Hans"/>
              </w:rPr>
            </w:pPr>
            <w:r>
              <w:rPr>
                <w:rFonts w:hint="eastAsia" w:ascii="仿宋" w:hAnsi="仿宋" w:eastAsia="仿宋" w:cs="仿宋"/>
                <w:bCs/>
                <w:kern w:val="0"/>
                <w:sz w:val="32"/>
                <w:szCs w:val="32"/>
                <w:lang w:eastAsia="zh-Hans"/>
              </w:rPr>
              <w:t>和对应上层数据厂商或省厅相关部门进行沟通协调，保证数据准确按期上传成功。</w:t>
            </w:r>
          </w:p>
        </w:tc>
        <w:tc>
          <w:tcPr>
            <w:tcW w:w="655" w:type="pct"/>
            <w:vMerge w:val="continue"/>
            <w:tcMar>
              <w:top w:w="15" w:type="dxa"/>
              <w:left w:w="15" w:type="dxa"/>
              <w:right w:w="15" w:type="dxa"/>
            </w:tcMar>
            <w:vAlign w:val="center"/>
          </w:tcPr>
          <w:p w14:paraId="7B9E825C">
            <w:pPr>
              <w:widowControl/>
              <w:ind w:firstLine="420"/>
              <w:jc w:val="center"/>
              <w:textAlignment w:val="center"/>
              <w:rPr>
                <w:rFonts w:hint="eastAsia" w:ascii="仿宋" w:hAnsi="仿宋" w:eastAsia="仿宋" w:cs="仿宋"/>
                <w:bCs/>
                <w:kern w:val="0"/>
                <w:sz w:val="32"/>
                <w:szCs w:val="32"/>
              </w:rPr>
            </w:pPr>
          </w:p>
        </w:tc>
      </w:tr>
      <w:tr w14:paraId="3468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 w:hRule="atLeast"/>
        </w:trPr>
        <w:tc>
          <w:tcPr>
            <w:tcW w:w="360" w:type="pct"/>
            <w:tcMar>
              <w:top w:w="15" w:type="dxa"/>
              <w:left w:w="15" w:type="dxa"/>
              <w:right w:w="15" w:type="dxa"/>
            </w:tcMar>
            <w:vAlign w:val="center"/>
          </w:tcPr>
          <w:p w14:paraId="7FE38C77">
            <w:pPr>
              <w:widowControl/>
              <w:ind w:firstLine="0" w:firstLineChars="0"/>
              <w:jc w:val="center"/>
              <w:textAlignment w:val="center"/>
              <w:rPr>
                <w:rFonts w:hint="eastAsia" w:ascii="仿宋" w:hAnsi="仿宋" w:eastAsia="仿宋" w:cs="仿宋"/>
                <w:bCs/>
                <w:color w:val="000000"/>
                <w:kern w:val="0"/>
                <w:sz w:val="32"/>
                <w:szCs w:val="32"/>
                <w:lang w:bidi="ar"/>
              </w:rPr>
            </w:pPr>
            <w:r>
              <w:rPr>
                <w:rFonts w:hint="eastAsia" w:ascii="仿宋" w:hAnsi="仿宋" w:eastAsia="仿宋" w:cs="仿宋"/>
                <w:bCs/>
                <w:color w:val="000000"/>
                <w:kern w:val="0"/>
                <w:sz w:val="32"/>
                <w:szCs w:val="32"/>
                <w:lang w:bidi="ar"/>
              </w:rPr>
              <w:t>8</w:t>
            </w:r>
          </w:p>
        </w:tc>
        <w:tc>
          <w:tcPr>
            <w:tcW w:w="1276" w:type="pct"/>
            <w:tcMar>
              <w:top w:w="15" w:type="dxa"/>
              <w:left w:w="15" w:type="dxa"/>
              <w:right w:w="15" w:type="dxa"/>
            </w:tcMar>
            <w:vAlign w:val="center"/>
          </w:tcPr>
          <w:p w14:paraId="7CEEE760">
            <w:pPr>
              <w:widowControl/>
              <w:ind w:firstLine="0" w:firstLineChars="0"/>
              <w:jc w:val="center"/>
              <w:textAlignment w:val="center"/>
              <w:rPr>
                <w:rFonts w:hint="eastAsia" w:ascii="仿宋" w:hAnsi="仿宋" w:eastAsia="仿宋" w:cs="仿宋"/>
                <w:bCs/>
                <w:kern w:val="0"/>
                <w:sz w:val="32"/>
                <w:szCs w:val="32"/>
                <w:lang w:eastAsia="zh-Hans"/>
              </w:rPr>
            </w:pPr>
            <w:r>
              <w:rPr>
                <w:rFonts w:hint="eastAsia" w:ascii="仿宋" w:hAnsi="仿宋" w:eastAsia="仿宋" w:cs="仿宋"/>
                <w:bCs/>
                <w:kern w:val="0"/>
                <w:sz w:val="32"/>
                <w:szCs w:val="32"/>
                <w:lang w:eastAsia="zh-Hans"/>
              </w:rPr>
              <w:t>数据质量管理软件</w:t>
            </w:r>
          </w:p>
        </w:tc>
        <w:tc>
          <w:tcPr>
            <w:tcW w:w="2707" w:type="pct"/>
            <w:tcMar>
              <w:top w:w="15" w:type="dxa"/>
              <w:left w:w="15" w:type="dxa"/>
              <w:right w:w="15" w:type="dxa"/>
            </w:tcMar>
            <w:vAlign w:val="center"/>
          </w:tcPr>
          <w:p w14:paraId="6847F5F7">
            <w:pPr>
              <w:widowControl/>
              <w:ind w:firstLine="420"/>
              <w:textAlignment w:val="center"/>
              <w:rPr>
                <w:rFonts w:hint="eastAsia" w:ascii="仿宋" w:hAnsi="仿宋" w:eastAsia="仿宋" w:cs="仿宋"/>
                <w:bCs/>
                <w:kern w:val="0"/>
                <w:sz w:val="32"/>
                <w:szCs w:val="32"/>
                <w:lang w:eastAsia="zh-Hans"/>
              </w:rPr>
            </w:pPr>
            <w:r>
              <w:rPr>
                <w:rFonts w:hint="eastAsia" w:ascii="仿宋" w:hAnsi="仿宋" w:eastAsia="仿宋" w:cs="仿宋"/>
                <w:bCs/>
                <w:kern w:val="0"/>
                <w:sz w:val="32"/>
                <w:szCs w:val="32"/>
                <w:lang w:eastAsia="zh-Hans"/>
              </w:rPr>
              <w:t>提供自动巡检工具供医院上报数据工作的日常校验。</w:t>
            </w:r>
          </w:p>
        </w:tc>
        <w:tc>
          <w:tcPr>
            <w:tcW w:w="655" w:type="pct"/>
            <w:vMerge w:val="continue"/>
            <w:tcMar>
              <w:top w:w="15" w:type="dxa"/>
              <w:left w:w="15" w:type="dxa"/>
              <w:right w:w="15" w:type="dxa"/>
            </w:tcMar>
            <w:vAlign w:val="center"/>
          </w:tcPr>
          <w:p w14:paraId="1FCABA03">
            <w:pPr>
              <w:widowControl/>
              <w:ind w:firstLine="420"/>
              <w:jc w:val="center"/>
              <w:textAlignment w:val="center"/>
              <w:rPr>
                <w:rFonts w:hint="eastAsia" w:ascii="仿宋" w:hAnsi="仿宋" w:eastAsia="仿宋" w:cs="仿宋"/>
                <w:bCs/>
                <w:kern w:val="0"/>
                <w:sz w:val="32"/>
                <w:szCs w:val="32"/>
              </w:rPr>
            </w:pPr>
          </w:p>
        </w:tc>
      </w:tr>
      <w:tr w14:paraId="01F8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 w:hRule="atLeast"/>
        </w:trPr>
        <w:tc>
          <w:tcPr>
            <w:tcW w:w="360" w:type="pct"/>
            <w:tcMar>
              <w:top w:w="15" w:type="dxa"/>
              <w:left w:w="15" w:type="dxa"/>
              <w:right w:w="15" w:type="dxa"/>
            </w:tcMar>
            <w:vAlign w:val="center"/>
          </w:tcPr>
          <w:p w14:paraId="465C424F">
            <w:pPr>
              <w:widowControl/>
              <w:ind w:firstLine="0" w:firstLineChars="0"/>
              <w:jc w:val="center"/>
              <w:textAlignment w:val="center"/>
              <w:rPr>
                <w:rFonts w:hint="eastAsia" w:ascii="仿宋" w:hAnsi="仿宋" w:eastAsia="仿宋" w:cs="仿宋"/>
                <w:bCs/>
                <w:color w:val="000000"/>
                <w:kern w:val="0"/>
                <w:sz w:val="32"/>
                <w:szCs w:val="32"/>
                <w:lang w:bidi="ar"/>
              </w:rPr>
            </w:pPr>
            <w:r>
              <w:rPr>
                <w:rFonts w:hint="eastAsia" w:ascii="仿宋" w:hAnsi="仿宋" w:eastAsia="仿宋" w:cs="仿宋"/>
                <w:bCs/>
                <w:color w:val="000000"/>
                <w:kern w:val="0"/>
                <w:sz w:val="32"/>
                <w:szCs w:val="32"/>
                <w:lang w:bidi="ar"/>
              </w:rPr>
              <w:t>9</w:t>
            </w:r>
          </w:p>
        </w:tc>
        <w:tc>
          <w:tcPr>
            <w:tcW w:w="1276" w:type="pct"/>
            <w:tcMar>
              <w:top w:w="15" w:type="dxa"/>
              <w:left w:w="15" w:type="dxa"/>
              <w:right w:w="15" w:type="dxa"/>
            </w:tcMar>
            <w:vAlign w:val="center"/>
          </w:tcPr>
          <w:p w14:paraId="39DAE496">
            <w:pPr>
              <w:widowControl/>
              <w:ind w:firstLine="0" w:firstLineChars="0"/>
              <w:jc w:val="center"/>
              <w:textAlignment w:val="center"/>
              <w:rPr>
                <w:rFonts w:hint="eastAsia" w:ascii="仿宋" w:hAnsi="仿宋" w:eastAsia="仿宋" w:cs="仿宋"/>
                <w:bCs/>
                <w:kern w:val="0"/>
                <w:sz w:val="32"/>
                <w:szCs w:val="32"/>
                <w:lang w:eastAsia="zh-Hans"/>
              </w:rPr>
            </w:pPr>
            <w:r>
              <w:rPr>
                <w:rFonts w:hint="eastAsia" w:ascii="仿宋" w:hAnsi="仿宋" w:eastAsia="仿宋" w:cs="仿宋"/>
                <w:bCs/>
                <w:kern w:val="0"/>
                <w:sz w:val="32"/>
                <w:szCs w:val="32"/>
                <w:lang w:eastAsia="zh-Hans"/>
              </w:rPr>
              <w:t>数据质量管理服务</w:t>
            </w:r>
          </w:p>
        </w:tc>
        <w:tc>
          <w:tcPr>
            <w:tcW w:w="2707" w:type="pct"/>
            <w:tcMar>
              <w:top w:w="15" w:type="dxa"/>
              <w:left w:w="15" w:type="dxa"/>
              <w:right w:w="15" w:type="dxa"/>
            </w:tcMar>
            <w:vAlign w:val="center"/>
          </w:tcPr>
          <w:p w14:paraId="4F5DEE46">
            <w:pPr>
              <w:widowControl/>
              <w:ind w:firstLine="420"/>
              <w:textAlignment w:val="center"/>
              <w:rPr>
                <w:rFonts w:hint="eastAsia" w:ascii="仿宋" w:hAnsi="仿宋" w:eastAsia="仿宋" w:cs="仿宋"/>
                <w:bCs/>
                <w:kern w:val="0"/>
                <w:sz w:val="32"/>
                <w:szCs w:val="32"/>
              </w:rPr>
            </w:pPr>
            <w:r>
              <w:rPr>
                <w:rFonts w:hint="eastAsia" w:ascii="仿宋" w:hAnsi="仿宋" w:eastAsia="仿宋" w:cs="仿宋"/>
                <w:bCs/>
                <w:kern w:val="0"/>
                <w:sz w:val="32"/>
                <w:szCs w:val="32"/>
              </w:rPr>
              <w:t>1.</w:t>
            </w:r>
            <w:r>
              <w:rPr>
                <w:rFonts w:hint="eastAsia" w:ascii="仿宋" w:hAnsi="仿宋" w:eastAsia="仿宋" w:cs="仿宋"/>
                <w:bCs/>
                <w:kern w:val="0"/>
                <w:sz w:val="32"/>
                <w:szCs w:val="32"/>
              </w:rPr>
              <w:t>规则比对</w:t>
            </w:r>
          </w:p>
          <w:p w14:paraId="7BB507A9">
            <w:pPr>
              <w:widowControl/>
              <w:ind w:firstLine="420"/>
              <w:textAlignment w:val="center"/>
              <w:rPr>
                <w:rFonts w:hint="eastAsia" w:ascii="仿宋" w:hAnsi="仿宋" w:eastAsia="仿宋" w:cs="仿宋"/>
                <w:bCs/>
                <w:kern w:val="0"/>
                <w:sz w:val="32"/>
                <w:szCs w:val="32"/>
                <w:lang w:eastAsia="zh-Hans"/>
              </w:rPr>
            </w:pPr>
            <w:r>
              <w:rPr>
                <w:rFonts w:hint="eastAsia" w:ascii="仿宋" w:hAnsi="仿宋" w:eastAsia="仿宋" w:cs="仿宋"/>
                <w:bCs/>
                <w:kern w:val="0"/>
                <w:sz w:val="32"/>
                <w:szCs w:val="32"/>
              </w:rPr>
              <w:t>2.</w:t>
            </w:r>
            <w:r>
              <w:rPr>
                <w:rFonts w:hint="eastAsia" w:ascii="仿宋" w:hAnsi="仿宋" w:eastAsia="仿宋" w:cs="仿宋"/>
                <w:bCs/>
                <w:kern w:val="0"/>
                <w:sz w:val="32"/>
                <w:szCs w:val="32"/>
              </w:rPr>
              <w:t>数据关联率</w:t>
            </w:r>
          </w:p>
          <w:p w14:paraId="3226E7E6">
            <w:pPr>
              <w:widowControl/>
              <w:ind w:firstLine="420"/>
              <w:textAlignment w:val="center"/>
              <w:rPr>
                <w:rFonts w:hint="eastAsia" w:ascii="仿宋" w:hAnsi="仿宋" w:eastAsia="仿宋" w:cs="仿宋"/>
                <w:bCs/>
                <w:kern w:val="0"/>
                <w:sz w:val="32"/>
                <w:szCs w:val="32"/>
                <w:lang w:eastAsia="zh-Hans"/>
              </w:rPr>
            </w:pPr>
            <w:r>
              <w:rPr>
                <w:rFonts w:hint="eastAsia" w:ascii="仿宋" w:hAnsi="仿宋" w:eastAsia="仿宋" w:cs="仿宋"/>
                <w:bCs/>
                <w:kern w:val="0"/>
                <w:sz w:val="32"/>
                <w:szCs w:val="32"/>
              </w:rPr>
              <w:t>3.</w:t>
            </w:r>
            <w:r>
              <w:rPr>
                <w:rFonts w:hint="eastAsia" w:ascii="仿宋" w:hAnsi="仿宋" w:eastAsia="仿宋" w:cs="仿宋"/>
                <w:bCs/>
                <w:kern w:val="0"/>
                <w:sz w:val="32"/>
                <w:szCs w:val="32"/>
              </w:rPr>
              <w:t>数据量的对比</w:t>
            </w:r>
          </w:p>
        </w:tc>
        <w:tc>
          <w:tcPr>
            <w:tcW w:w="655" w:type="pct"/>
            <w:vMerge w:val="continue"/>
            <w:tcMar>
              <w:top w:w="15" w:type="dxa"/>
              <w:left w:w="15" w:type="dxa"/>
              <w:right w:w="15" w:type="dxa"/>
            </w:tcMar>
            <w:vAlign w:val="center"/>
          </w:tcPr>
          <w:p w14:paraId="5A73832E">
            <w:pPr>
              <w:widowControl/>
              <w:ind w:firstLine="420"/>
              <w:jc w:val="center"/>
              <w:textAlignment w:val="center"/>
              <w:rPr>
                <w:rFonts w:hint="eastAsia" w:ascii="仿宋" w:hAnsi="仿宋" w:eastAsia="仿宋" w:cs="仿宋"/>
                <w:bCs/>
                <w:kern w:val="0"/>
                <w:sz w:val="32"/>
                <w:szCs w:val="32"/>
              </w:rPr>
            </w:pPr>
          </w:p>
        </w:tc>
      </w:tr>
    </w:tbl>
    <w:p w14:paraId="2B3E42EC">
      <w:pPr>
        <w:ind w:firstLine="0" w:firstLineChars="0"/>
        <w:rPr>
          <w:rFonts w:hint="eastAsia" w:ascii="仿宋" w:hAnsi="仿宋" w:eastAsia="仿宋" w:cs="仿宋"/>
          <w:sz w:val="32"/>
          <w:szCs w:val="32"/>
          <w:lang w:eastAsia="zh-Hans"/>
        </w:rPr>
      </w:pPr>
    </w:p>
    <w:p w14:paraId="194F8F6C">
      <w:pPr>
        <w:pStyle w:val="2"/>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项目服务具体</w:t>
      </w:r>
      <w:r>
        <w:rPr>
          <w:rFonts w:hint="eastAsia" w:ascii="仿宋" w:hAnsi="仿宋" w:eastAsia="仿宋" w:cs="仿宋"/>
          <w:sz w:val="32"/>
          <w:szCs w:val="32"/>
          <w:lang w:val="en-US" w:eastAsia="zh-Hans"/>
        </w:rPr>
        <w:t>内容</w:t>
      </w:r>
    </w:p>
    <w:p w14:paraId="644B737A">
      <w:pPr>
        <w:pStyle w:val="3"/>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上报服务</w:t>
      </w:r>
      <w:r>
        <w:rPr>
          <w:rFonts w:hint="eastAsia" w:ascii="仿宋" w:hAnsi="仿宋" w:eastAsia="仿宋" w:cs="仿宋"/>
          <w:sz w:val="32"/>
          <w:szCs w:val="32"/>
          <w:lang w:val="en-US" w:eastAsia="zh-Hans"/>
        </w:rPr>
        <w:t>内容</w:t>
      </w:r>
    </w:p>
    <w:p w14:paraId="261052B1">
      <w:pPr>
        <w:pStyle w:val="4"/>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新建上传业务流</w:t>
      </w:r>
    </w:p>
    <w:p w14:paraId="581235E5">
      <w:pPr>
        <w:ind w:firstLine="480"/>
        <w:rPr>
          <w:rFonts w:hint="eastAsia" w:ascii="仿宋" w:hAnsi="仿宋" w:eastAsia="仿宋" w:cs="仿宋"/>
          <w:sz w:val="32"/>
          <w:szCs w:val="32"/>
          <w:lang w:eastAsia="zh-Hans"/>
        </w:rPr>
      </w:pPr>
      <w:r>
        <w:rPr>
          <w:rFonts w:hint="eastAsia" w:ascii="仿宋" w:hAnsi="仿宋" w:eastAsia="仿宋" w:cs="仿宋"/>
          <w:sz w:val="32"/>
          <w:szCs w:val="32"/>
          <w:lang w:eastAsia="zh-Hans"/>
        </w:rPr>
        <w:t>根据政策要求新建</w:t>
      </w:r>
      <w:r>
        <w:rPr>
          <w:rFonts w:hint="eastAsia" w:ascii="仿宋" w:hAnsi="仿宋" w:eastAsia="仿宋" w:cs="仿宋"/>
          <w:sz w:val="32"/>
          <w:szCs w:val="32"/>
          <w:lang w:val="en-US" w:eastAsia="zh-CN"/>
        </w:rPr>
        <w:t>43</w:t>
      </w:r>
      <w:r>
        <w:rPr>
          <w:rFonts w:hint="eastAsia" w:ascii="仿宋" w:hAnsi="仿宋" w:eastAsia="仿宋" w:cs="仿宋"/>
          <w:sz w:val="32"/>
          <w:szCs w:val="32"/>
          <w:lang w:eastAsia="zh-Hans"/>
        </w:rPr>
        <w:t>张数据上传业务流（含检查），确保新系统上线后的数据可以增量上传至省厅中心库。</w:t>
      </w:r>
    </w:p>
    <w:p w14:paraId="7CDF82EB">
      <w:pPr>
        <w:pStyle w:val="14"/>
        <w:ind w:left="480" w:leftChars="200" w:firstLine="0" w:firstLineChars="0"/>
        <w:rPr>
          <w:rFonts w:hint="eastAsia" w:ascii="仿宋" w:hAnsi="仿宋" w:eastAsia="仿宋" w:cs="仿宋"/>
          <w:sz w:val="32"/>
          <w:szCs w:val="32"/>
          <w:lang w:eastAsia="zh-Hans"/>
        </w:rPr>
      </w:pPr>
      <w:r>
        <w:rPr>
          <w:rFonts w:hint="eastAsia" w:ascii="仿宋" w:hAnsi="仿宋" w:eastAsia="仿宋" w:cs="仿宋"/>
          <w:sz w:val="32"/>
          <w:szCs w:val="32"/>
          <w:lang w:eastAsia="zh-Hans"/>
        </w:rPr>
        <w:t>具体业务表清单如下：</w:t>
      </w:r>
    </w:p>
    <w:p w14:paraId="597B145C">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患者基本信息数据表结构</w:t>
      </w:r>
    </w:p>
    <w:p w14:paraId="7FA75EFB">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门诊/急诊挂号数据表结构</w:t>
      </w:r>
    </w:p>
    <w:p w14:paraId="29D8DC33">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门诊/急诊就诊记录表结构</w:t>
      </w:r>
    </w:p>
    <w:p w14:paraId="5D9946F9">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急诊留观-观察病历表结构</w:t>
      </w:r>
    </w:p>
    <w:p w14:paraId="16708066">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急诊留观-观察病程记录表结构</w:t>
      </w:r>
    </w:p>
    <w:p w14:paraId="52BA2048">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急诊留观-出观察室记录表结构</w:t>
      </w:r>
    </w:p>
    <w:p w14:paraId="594E1766">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门急诊/观察室有创操作记录表结构</w:t>
      </w:r>
    </w:p>
    <w:p w14:paraId="1488AD0F">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门诊/急诊/住院西药处方表结构（主表）</w:t>
      </w:r>
    </w:p>
    <w:p w14:paraId="45A1B0CB">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门诊/急诊/住院西药处方表结构（从表）</w:t>
      </w:r>
    </w:p>
    <w:p w14:paraId="627EAA25">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门诊/急诊/住院中药处方表结构（主表）</w:t>
      </w:r>
    </w:p>
    <w:p w14:paraId="1115DC49">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门诊/急诊/住院中药处方表结构（从表）</w:t>
      </w:r>
    </w:p>
    <w:p w14:paraId="29CF2C76">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患者入院记录表结构</w:t>
      </w:r>
    </w:p>
    <w:p w14:paraId="3A6F08F7">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住院患者病程记录表结构</w:t>
      </w:r>
    </w:p>
    <w:p w14:paraId="2ECA8028">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患者出院/死亡记录表结构（出院小结）</w:t>
      </w:r>
    </w:p>
    <w:p w14:paraId="1165E63A">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西医病案首页表结构（主表）</w:t>
      </w:r>
    </w:p>
    <w:p w14:paraId="5A027500">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西医病案首页中手术记录表结构（从表）</w:t>
      </w:r>
    </w:p>
    <w:p w14:paraId="032DF6C4">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住院病人医嘱表结构</w:t>
      </w:r>
    </w:p>
    <w:p w14:paraId="7BA0A7FB">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检验申请记录表结构</w:t>
      </w:r>
    </w:p>
    <w:p w14:paraId="5524B7AF">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检验报告记录表结构（主表）</w:t>
      </w:r>
    </w:p>
    <w:p w14:paraId="0C630212">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检验结果明细表结构（从表）</w:t>
      </w:r>
    </w:p>
    <w:p w14:paraId="1F4DC828">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检查申请记录表结构</w:t>
      </w:r>
    </w:p>
    <w:p w14:paraId="7490A761">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检查报告记录表结构</w:t>
      </w:r>
    </w:p>
    <w:p w14:paraId="338ED90F">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手术/操作记录表结构</w:t>
      </w:r>
    </w:p>
    <w:p w14:paraId="3A591D76">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治疗处置记录表结构</w:t>
      </w:r>
    </w:p>
    <w:p w14:paraId="47778350">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患者输血申请表结构（主表）</w:t>
      </w:r>
    </w:p>
    <w:p w14:paraId="31FE82CD">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患者输血记录表结构（从表）</w:t>
      </w:r>
    </w:p>
    <w:p w14:paraId="4A0CA317">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医疗高值耗材使用记录</w:t>
      </w:r>
    </w:p>
    <w:p w14:paraId="73AFE2C3">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门诊/急诊/住院费用表结构（主表）</w:t>
      </w:r>
    </w:p>
    <w:p w14:paraId="3329E4A2">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门诊/急诊/住院费用表结构（从表）</w:t>
      </w:r>
    </w:p>
    <w:p w14:paraId="16E16A1A">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入院出院患者统计数据表结构</w:t>
      </w:r>
    </w:p>
    <w:p w14:paraId="5B37AEE9">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门诊/住院收费统计数据表结构</w:t>
      </w:r>
    </w:p>
    <w:p w14:paraId="58BCD109">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门诊工作量统计数据表结构</w:t>
      </w:r>
    </w:p>
    <w:p w14:paraId="5198A27C">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住院工作量统计数据表结构</w:t>
      </w:r>
    </w:p>
    <w:p w14:paraId="41C14865">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药品入库信息记录表</w:t>
      </w:r>
    </w:p>
    <w:p w14:paraId="0159443F">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药品出库信息记录表</w:t>
      </w:r>
    </w:p>
    <w:p w14:paraId="391A90D2">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耗材入库信息记录表</w:t>
      </w:r>
    </w:p>
    <w:p w14:paraId="676DE573">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耗材出库信息记录表</w:t>
      </w:r>
    </w:p>
    <w:p w14:paraId="5BA9EF97">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患者入院记录_天表结构</w:t>
      </w:r>
    </w:p>
    <w:p w14:paraId="50531936">
      <w:pPr>
        <w:pStyle w:val="22"/>
        <w:numPr>
          <w:ilvl w:val="0"/>
          <w:numId w:val="2"/>
        </w:numPr>
        <w:tabs>
          <w:tab w:val="left" w:pos="874"/>
        </w:tabs>
        <w:spacing w:after="180" w:line="300" w:lineRule="exact"/>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患者出院记录（小结）/死亡记录_天表结构</w:t>
      </w:r>
    </w:p>
    <w:p w14:paraId="44DB86FE">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出院患者感染预警信息表结构</w:t>
      </w:r>
    </w:p>
    <w:p w14:paraId="0DBDAEF8">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检查报告指标信息表结构</w:t>
      </w:r>
    </w:p>
    <w:p w14:paraId="54F87528">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住院病人体温腹泻次数表结构</w:t>
      </w:r>
    </w:p>
    <w:p w14:paraId="2BAFEEA3">
      <w:pPr>
        <w:pStyle w:val="22"/>
        <w:numPr>
          <w:ilvl w:val="0"/>
          <w:numId w:val="2"/>
        </w:numPr>
        <w:tabs>
          <w:tab w:val="left" w:pos="874"/>
        </w:tabs>
        <w:spacing w:after="180"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出院患者感染预警信息表结构</w:t>
      </w:r>
    </w:p>
    <w:p w14:paraId="4700238A">
      <w:pPr>
        <w:pStyle w:val="22"/>
        <w:numPr>
          <w:ilvl w:val="0"/>
          <w:numId w:val="0"/>
        </w:numPr>
        <w:tabs>
          <w:tab w:val="left" w:pos="874"/>
        </w:tabs>
        <w:spacing w:after="180" w:line="300" w:lineRule="exact"/>
        <w:rPr>
          <w:rFonts w:hint="eastAsia" w:ascii="仿宋" w:hAnsi="仿宋" w:eastAsia="仿宋" w:cs="仿宋"/>
          <w:sz w:val="32"/>
          <w:szCs w:val="32"/>
          <w:lang w:val="en-US" w:eastAsia="zh-CN" w:bidi="ar-SA"/>
        </w:rPr>
      </w:pPr>
    </w:p>
    <w:p w14:paraId="69A7956D">
      <w:pPr>
        <w:pStyle w:val="4"/>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老系统数据补录</w:t>
      </w:r>
    </w:p>
    <w:p w14:paraId="615DD034">
      <w:pPr>
        <w:ind w:firstLine="48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检查201</w:t>
      </w:r>
      <w:r>
        <w:rPr>
          <w:rFonts w:hint="eastAsia" w:ascii="仿宋" w:hAnsi="仿宋" w:eastAsia="仿宋" w:cs="仿宋"/>
          <w:color w:val="000000"/>
          <w:kern w:val="0"/>
          <w:sz w:val="32"/>
          <w:szCs w:val="32"/>
          <w:lang w:val="en-US" w:eastAsia="zh-CN" w:bidi="ar"/>
        </w:rPr>
        <w:t>9</w:t>
      </w:r>
      <w:r>
        <w:rPr>
          <w:rFonts w:hint="eastAsia" w:ascii="仿宋" w:hAnsi="仿宋" w:eastAsia="仿宋" w:cs="仿宋"/>
          <w:color w:val="000000"/>
          <w:kern w:val="0"/>
          <w:sz w:val="32"/>
          <w:szCs w:val="32"/>
          <w:lang w:bidi="ar"/>
        </w:rPr>
        <w:t>年至新系统上线前</w:t>
      </w:r>
      <w:r>
        <w:rPr>
          <w:rFonts w:hint="eastAsia" w:ascii="仿宋" w:hAnsi="仿宋" w:eastAsia="仿宋" w:cs="仿宋"/>
          <w:color w:val="000000"/>
          <w:kern w:val="0"/>
          <w:sz w:val="32"/>
          <w:szCs w:val="32"/>
          <w:lang w:eastAsia="zh-Hans" w:bidi="ar"/>
        </w:rPr>
        <w:t>上传的数据</w:t>
      </w:r>
      <w:r>
        <w:rPr>
          <w:rFonts w:hint="eastAsia" w:ascii="仿宋" w:hAnsi="仿宋" w:eastAsia="仿宋" w:cs="仿宋"/>
          <w:color w:val="000000"/>
          <w:kern w:val="0"/>
          <w:sz w:val="32"/>
          <w:szCs w:val="32"/>
          <w:lang w:bidi="ar"/>
        </w:rPr>
        <w:t>表是否有数据遗漏，进行数据补传。</w:t>
      </w:r>
    </w:p>
    <w:p w14:paraId="69ED80CF">
      <w:pPr>
        <w:widowControl/>
        <w:numPr>
          <w:ilvl w:val="0"/>
          <w:numId w:val="3"/>
        </w:numPr>
        <w:ind w:firstLine="480"/>
        <w:textAlignment w:val="center"/>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重建或补充业务表（含省厅码表对应转换）。</w:t>
      </w:r>
    </w:p>
    <w:p w14:paraId="3589A61F">
      <w:pPr>
        <w:widowControl/>
        <w:numPr>
          <w:ilvl w:val="0"/>
          <w:numId w:val="3"/>
        </w:numPr>
        <w:ind w:firstLine="480"/>
        <w:textAlignment w:val="center"/>
        <w:rPr>
          <w:rFonts w:hint="eastAsia" w:ascii="仿宋" w:hAnsi="仿宋" w:eastAsia="仿宋" w:cs="仿宋"/>
          <w:color w:val="000000"/>
          <w:kern w:val="0"/>
          <w:sz w:val="32"/>
          <w:szCs w:val="32"/>
          <w:lang w:bidi="ar"/>
        </w:rPr>
      </w:pPr>
      <w:bookmarkStart w:id="0" w:name="bookmark37"/>
      <w:bookmarkEnd w:id="0"/>
      <w:r>
        <w:rPr>
          <w:rFonts w:hint="eastAsia" w:ascii="仿宋" w:hAnsi="仿宋" w:eastAsia="仿宋" w:cs="仿宋"/>
          <w:color w:val="000000"/>
          <w:kern w:val="0"/>
          <w:sz w:val="32"/>
          <w:szCs w:val="32"/>
          <w:lang w:bidi="ar"/>
        </w:rPr>
        <w:t>重建或补充业务表涉及的所有码表，包含重建、辅助、检査、整理码表</w:t>
      </w:r>
      <w:r>
        <w:rPr>
          <w:rFonts w:hint="eastAsia" w:ascii="仿宋" w:hAnsi="仿宋" w:eastAsia="仿宋" w:cs="仿宋"/>
          <w:color w:val="000000"/>
          <w:kern w:val="0"/>
          <w:sz w:val="32"/>
          <w:szCs w:val="32"/>
          <w:lang w:eastAsia="zh-Hans" w:bidi="ar"/>
        </w:rPr>
        <w:t>（</w:t>
      </w:r>
      <w:r>
        <w:rPr>
          <w:rFonts w:hint="eastAsia" w:ascii="仿宋" w:hAnsi="仿宋" w:eastAsia="仿宋" w:cs="仿宋"/>
          <w:color w:val="000000"/>
          <w:kern w:val="0"/>
          <w:sz w:val="32"/>
          <w:szCs w:val="32"/>
          <w:lang w:bidi="ar"/>
        </w:rPr>
        <w:t>码表对照工作由医院</w:t>
      </w:r>
      <w:r>
        <w:rPr>
          <w:rFonts w:hint="eastAsia" w:ascii="仿宋" w:hAnsi="仿宋" w:eastAsia="仿宋" w:cs="仿宋"/>
          <w:color w:val="000000"/>
          <w:kern w:val="0"/>
          <w:sz w:val="32"/>
          <w:szCs w:val="32"/>
          <w:lang w:val="en-US" w:eastAsia="zh-Hans" w:bidi="ar"/>
        </w:rPr>
        <w:t>自身</w:t>
      </w:r>
      <w:r>
        <w:rPr>
          <w:rFonts w:hint="eastAsia" w:ascii="仿宋" w:hAnsi="仿宋" w:eastAsia="仿宋" w:cs="仿宋"/>
          <w:color w:val="000000"/>
          <w:kern w:val="0"/>
          <w:sz w:val="32"/>
          <w:szCs w:val="32"/>
          <w:lang w:bidi="ar"/>
        </w:rPr>
        <w:t>负责）。</w:t>
      </w:r>
    </w:p>
    <w:p w14:paraId="1E159175">
      <w:pPr>
        <w:pStyle w:val="4"/>
        <w:bidi w:val="0"/>
        <w:rPr>
          <w:rFonts w:hint="eastAsia" w:ascii="仿宋" w:hAnsi="仿宋" w:eastAsia="仿宋" w:cs="仿宋"/>
          <w:sz w:val="32"/>
          <w:szCs w:val="32"/>
          <w:lang w:eastAsia="zh-Hans"/>
        </w:rPr>
      </w:pPr>
      <w:bookmarkStart w:id="1" w:name="bookmark38"/>
      <w:bookmarkEnd w:id="1"/>
      <w:r>
        <w:rPr>
          <w:rFonts w:hint="eastAsia" w:ascii="仿宋" w:hAnsi="仿宋" w:eastAsia="仿宋" w:cs="仿宋"/>
          <w:sz w:val="32"/>
          <w:szCs w:val="32"/>
          <w:lang w:eastAsia="zh-Hans"/>
        </w:rPr>
        <w:t>数据清理与补传</w:t>
      </w:r>
    </w:p>
    <w:p w14:paraId="74C400A1">
      <w:pPr>
        <w:ind w:firstLine="480"/>
        <w:rPr>
          <w:rFonts w:hint="eastAsia" w:ascii="仿宋" w:hAnsi="仿宋" w:eastAsia="仿宋" w:cs="仿宋"/>
          <w:sz w:val="32"/>
          <w:szCs w:val="32"/>
          <w:lang w:eastAsia="zh-Hans"/>
        </w:rPr>
      </w:pPr>
      <w:r>
        <w:rPr>
          <w:rFonts w:hint="eastAsia" w:ascii="仿宋" w:hAnsi="仿宋" w:eastAsia="仿宋" w:cs="仿宋"/>
          <w:sz w:val="32"/>
          <w:szCs w:val="32"/>
          <w:lang w:eastAsia="zh-Hans"/>
        </w:rPr>
        <w:t>根据以下两种情况进行数据的清理与补传：</w:t>
      </w:r>
    </w:p>
    <w:p w14:paraId="445A83FD">
      <w:pPr>
        <w:widowControl/>
        <w:numPr>
          <w:ilvl w:val="0"/>
          <w:numId w:val="4"/>
        </w:numPr>
        <w:ind w:firstLine="480"/>
        <w:textAlignment w:val="center"/>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新老系统过渡期间数据补传；</w:t>
      </w:r>
    </w:p>
    <w:p w14:paraId="7E44751B">
      <w:pPr>
        <w:numPr>
          <w:ilvl w:val="0"/>
          <w:numId w:val="4"/>
        </w:numPr>
        <w:ind w:firstLine="480"/>
        <w:rPr>
          <w:rFonts w:hint="eastAsia" w:ascii="仿宋" w:hAnsi="仿宋" w:eastAsia="仿宋" w:cs="仿宋"/>
          <w:sz w:val="32"/>
          <w:szCs w:val="32"/>
          <w:lang w:eastAsia="zh-Hans"/>
        </w:rPr>
      </w:pPr>
      <w:r>
        <w:rPr>
          <w:rFonts w:hint="eastAsia" w:ascii="仿宋" w:hAnsi="仿宋" w:eastAsia="仿宋" w:cs="仿宋"/>
          <w:color w:val="000000"/>
          <w:kern w:val="0"/>
          <w:sz w:val="32"/>
          <w:szCs w:val="32"/>
          <w:lang w:bidi="ar"/>
        </w:rPr>
        <w:t>新系统上线后到双方合同签订期间数据补传</w:t>
      </w:r>
      <w:r>
        <w:rPr>
          <w:rFonts w:hint="eastAsia" w:ascii="仿宋" w:hAnsi="仿宋" w:eastAsia="仿宋" w:cs="仿宋"/>
          <w:color w:val="000000"/>
          <w:kern w:val="0"/>
          <w:sz w:val="32"/>
          <w:szCs w:val="32"/>
          <w:lang w:eastAsia="zh-Hans" w:bidi="ar"/>
        </w:rPr>
        <w:t>。</w:t>
      </w:r>
    </w:p>
    <w:p w14:paraId="55AA5A70">
      <w:pPr>
        <w:pStyle w:val="4"/>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数据检查与上传</w:t>
      </w:r>
    </w:p>
    <w:p w14:paraId="38244340">
      <w:pPr>
        <w:pStyle w:val="22"/>
        <w:tabs>
          <w:tab w:val="left" w:pos="874"/>
        </w:tabs>
        <w:spacing w:line="360" w:lineRule="auto"/>
        <w:ind w:firstLine="480"/>
        <w:rPr>
          <w:rFonts w:hint="eastAsia" w:ascii="仿宋" w:hAnsi="仿宋" w:eastAsia="仿宋" w:cs="仿宋"/>
          <w:sz w:val="32"/>
          <w:szCs w:val="32"/>
          <w:lang w:val="en-US" w:eastAsia="zh-Hans" w:bidi="ar-SA"/>
        </w:rPr>
      </w:pPr>
      <w:r>
        <w:rPr>
          <w:rFonts w:hint="eastAsia" w:ascii="仿宋" w:hAnsi="仿宋" w:eastAsia="仿宋" w:cs="仿宋"/>
          <w:sz w:val="32"/>
          <w:szCs w:val="32"/>
          <w:lang w:val="en-US" w:eastAsia="zh-Hans" w:bidi="ar-SA"/>
        </w:rPr>
        <w:t>进行每天定时数据检查于上传：</w:t>
      </w:r>
    </w:p>
    <w:p w14:paraId="1353D18E">
      <w:pPr>
        <w:pStyle w:val="22"/>
        <w:numPr>
          <w:ilvl w:val="0"/>
          <w:numId w:val="5"/>
        </w:numPr>
        <w:tabs>
          <w:tab w:val="left" w:pos="874"/>
        </w:tabs>
        <w:spacing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数据基础检查、校验后生成错误报吿，并辅助医院对数据进行整改</w:t>
      </w:r>
      <w:r>
        <w:rPr>
          <w:rFonts w:hint="eastAsia" w:ascii="仿宋" w:hAnsi="仿宋" w:eastAsia="仿宋" w:cs="仿宋"/>
          <w:sz w:val="32"/>
          <w:szCs w:val="32"/>
          <w:lang w:val="en-US" w:eastAsia="zh-Hans" w:bidi="ar-SA"/>
        </w:rPr>
        <w:t>；</w:t>
      </w:r>
    </w:p>
    <w:p w14:paraId="3E928536">
      <w:pPr>
        <w:pStyle w:val="22"/>
        <w:numPr>
          <w:ilvl w:val="0"/>
          <w:numId w:val="5"/>
        </w:numPr>
        <w:tabs>
          <w:tab w:val="left" w:pos="874"/>
        </w:tabs>
        <w:spacing w:line="360" w:lineRule="auto"/>
        <w:ind w:firstLine="48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根据省厅检査报告，辅助医院对数据质量进行整改。</w:t>
      </w:r>
    </w:p>
    <w:p w14:paraId="524E790D">
      <w:pPr>
        <w:pStyle w:val="4"/>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数据量核对</w:t>
      </w:r>
    </w:p>
    <w:p w14:paraId="4B43F7B8">
      <w:pPr>
        <w:widowControl/>
        <w:ind w:firstLine="480"/>
        <w:textAlignment w:val="center"/>
        <w:rPr>
          <w:rFonts w:hint="eastAsia" w:ascii="仿宋" w:hAnsi="仿宋" w:eastAsia="仿宋" w:cs="仿宋"/>
          <w:sz w:val="32"/>
          <w:szCs w:val="32"/>
          <w:lang w:eastAsia="zh-Hans"/>
        </w:rPr>
      </w:pPr>
      <w:r>
        <w:rPr>
          <w:rFonts w:hint="eastAsia" w:ascii="仿宋" w:hAnsi="仿宋" w:eastAsia="仿宋" w:cs="仿宋"/>
          <w:sz w:val="32"/>
          <w:szCs w:val="32"/>
          <w:lang w:eastAsia="zh-Hans"/>
        </w:rPr>
        <w:t>从院端数据抽取、数据入库两个环节分析比较医院实际业务数据量和抽取后数据量比对，保证抽取后的数据量反应医院实际业务情况；</w:t>
      </w:r>
    </w:p>
    <w:p w14:paraId="419008D4">
      <w:pPr>
        <w:ind w:firstLine="480"/>
        <w:rPr>
          <w:rFonts w:hint="eastAsia" w:ascii="仿宋" w:hAnsi="仿宋" w:eastAsia="仿宋" w:cs="仿宋"/>
          <w:sz w:val="32"/>
          <w:szCs w:val="32"/>
        </w:rPr>
      </w:pPr>
      <w:r>
        <w:rPr>
          <w:rFonts w:hint="eastAsia" w:ascii="仿宋" w:hAnsi="仿宋" w:eastAsia="仿宋" w:cs="仿宋"/>
          <w:sz w:val="32"/>
          <w:szCs w:val="32"/>
        </w:rPr>
        <w:t>实时同步“医院内部己完成对照的码表库</w:t>
      </w:r>
      <w:r>
        <w:rPr>
          <w:rFonts w:hint="eastAsia" w:ascii="仿宋" w:hAnsi="仿宋" w:eastAsia="仿宋" w:cs="仿宋"/>
          <w:sz w:val="32"/>
          <w:szCs w:val="32"/>
          <w:lang w:val="zh-CN"/>
        </w:rPr>
        <w:t>”与“上</w:t>
      </w:r>
      <w:r>
        <w:rPr>
          <w:rFonts w:hint="eastAsia" w:ascii="仿宋" w:hAnsi="仿宋" w:eastAsia="仿宋" w:cs="仿宋"/>
          <w:sz w:val="32"/>
          <w:szCs w:val="32"/>
        </w:rPr>
        <w:t>传数据库中的码表库</w:t>
      </w:r>
      <w:r>
        <w:rPr>
          <w:rFonts w:hint="eastAsia" w:ascii="仿宋" w:hAnsi="仿宋" w:eastAsia="仿宋" w:cs="仿宋"/>
          <w:sz w:val="32"/>
          <w:szCs w:val="32"/>
          <w:lang w:val="zh-CN"/>
        </w:rPr>
        <w:t>”保持</w:t>
      </w:r>
      <w:r>
        <w:rPr>
          <w:rFonts w:hint="eastAsia" w:ascii="仿宋" w:hAnsi="仿宋" w:eastAsia="仿宋" w:cs="仿宋"/>
          <w:sz w:val="32"/>
          <w:szCs w:val="32"/>
        </w:rPr>
        <w:t>一致。</w:t>
      </w:r>
    </w:p>
    <w:p w14:paraId="189B18ED">
      <w:pPr>
        <w:pStyle w:val="4"/>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沟通协调</w:t>
      </w:r>
    </w:p>
    <w:p w14:paraId="6CFA4E67">
      <w:pPr>
        <w:widowControl/>
        <w:ind w:firstLine="480"/>
        <w:textAlignment w:val="center"/>
        <w:rPr>
          <w:rFonts w:hint="eastAsia" w:ascii="仿宋" w:hAnsi="仿宋" w:eastAsia="仿宋" w:cs="仿宋"/>
          <w:sz w:val="32"/>
          <w:szCs w:val="32"/>
          <w:lang w:eastAsia="zh-Hans"/>
        </w:rPr>
      </w:pPr>
      <w:r>
        <w:rPr>
          <w:rFonts w:hint="eastAsia" w:ascii="仿宋" w:hAnsi="仿宋" w:eastAsia="仿宋" w:cs="仿宋"/>
          <w:sz w:val="32"/>
          <w:szCs w:val="32"/>
          <w:lang w:eastAsia="zh-Hans"/>
        </w:rPr>
        <w:t>如果在数据上传过程中发现数据源有问题，协调业务系统厂商配合并进行对应整改后进行数据抽取。</w:t>
      </w:r>
    </w:p>
    <w:p w14:paraId="7E8E8125">
      <w:pPr>
        <w:pStyle w:val="3"/>
        <w:bidi w:val="0"/>
        <w:rPr>
          <w:rFonts w:hint="eastAsia" w:ascii="仿宋" w:hAnsi="仿宋" w:eastAsia="仿宋" w:cs="仿宋"/>
          <w:sz w:val="32"/>
          <w:szCs w:val="32"/>
        </w:rPr>
      </w:pPr>
      <w:r>
        <w:rPr>
          <w:rFonts w:hint="eastAsia" w:ascii="仿宋" w:hAnsi="仿宋" w:eastAsia="仿宋" w:cs="仿宋"/>
          <w:sz w:val="32"/>
          <w:szCs w:val="32"/>
          <w:lang w:eastAsia="zh-Hans"/>
        </w:rPr>
        <w:t>医院数据上报巡检工具</w:t>
      </w:r>
    </w:p>
    <w:p w14:paraId="7F587E16">
      <w:pPr>
        <w:ind w:firstLine="480"/>
        <w:rPr>
          <w:rFonts w:hint="eastAsia" w:ascii="仿宋" w:hAnsi="仿宋" w:eastAsia="仿宋" w:cs="仿宋"/>
          <w:color w:val="000000"/>
          <w:sz w:val="32"/>
          <w:szCs w:val="32"/>
          <w:lang w:eastAsia="zh-Hans"/>
        </w:rPr>
      </w:pPr>
      <w:r>
        <w:rPr>
          <w:rFonts w:hint="eastAsia" w:ascii="仿宋" w:hAnsi="仿宋" w:eastAsia="仿宋" w:cs="仿宋"/>
          <w:color w:val="000000"/>
          <w:sz w:val="32"/>
          <w:szCs w:val="32"/>
          <w:lang w:eastAsia="zh-Hans"/>
        </w:rPr>
        <w:t>需对医院数据上报工作进行日常校验，</w:t>
      </w:r>
      <w:r>
        <w:rPr>
          <w:rFonts w:hint="eastAsia" w:ascii="仿宋" w:hAnsi="仿宋" w:eastAsia="仿宋" w:cs="仿宋"/>
          <w:color w:val="000000"/>
          <w:sz w:val="32"/>
          <w:szCs w:val="32"/>
        </w:rPr>
        <w:t>具体</w:t>
      </w:r>
      <w:r>
        <w:rPr>
          <w:rFonts w:hint="eastAsia" w:ascii="仿宋" w:hAnsi="仿宋" w:eastAsia="仿宋" w:cs="仿宋"/>
          <w:color w:val="000000"/>
          <w:sz w:val="32"/>
          <w:szCs w:val="32"/>
          <w:lang w:eastAsia="zh-Hans"/>
        </w:rPr>
        <w:t>的校验内容</w:t>
      </w:r>
      <w:r>
        <w:rPr>
          <w:rFonts w:hint="eastAsia" w:ascii="仿宋" w:hAnsi="仿宋" w:eastAsia="仿宋" w:cs="仿宋"/>
          <w:color w:val="000000"/>
          <w:sz w:val="32"/>
          <w:szCs w:val="32"/>
        </w:rPr>
        <w:t>如下</w:t>
      </w:r>
      <w:r>
        <w:rPr>
          <w:rFonts w:hint="eastAsia" w:ascii="仿宋" w:hAnsi="仿宋" w:eastAsia="仿宋" w:cs="仿宋"/>
          <w:color w:val="000000"/>
          <w:sz w:val="32"/>
          <w:szCs w:val="32"/>
          <w:lang w:eastAsia="zh-Hans"/>
        </w:rPr>
        <w:t>：</w:t>
      </w:r>
    </w:p>
    <w:p w14:paraId="38BB686E">
      <w:pPr>
        <w:numPr>
          <w:ilvl w:val="0"/>
          <w:numId w:val="6"/>
        </w:numPr>
        <w:ind w:firstLine="480"/>
        <w:rPr>
          <w:rFonts w:hint="eastAsia" w:ascii="仿宋" w:hAnsi="仿宋" w:eastAsia="仿宋" w:cs="仿宋"/>
          <w:color w:val="000000"/>
          <w:sz w:val="32"/>
          <w:szCs w:val="32"/>
          <w:lang w:eastAsia="zh-Hans"/>
        </w:rPr>
      </w:pPr>
      <w:r>
        <w:rPr>
          <w:rFonts w:hint="eastAsia" w:ascii="仿宋" w:hAnsi="仿宋" w:eastAsia="仿宋" w:cs="仿宋"/>
          <w:color w:val="000000"/>
          <w:sz w:val="32"/>
          <w:szCs w:val="32"/>
          <w:lang w:eastAsia="zh-Hans"/>
        </w:rPr>
        <w:t>进行每天自动</w:t>
      </w:r>
      <w:r>
        <w:rPr>
          <w:rFonts w:hint="eastAsia" w:ascii="仿宋" w:hAnsi="仿宋" w:eastAsia="仿宋" w:cs="仿宋"/>
          <w:color w:val="000000"/>
          <w:sz w:val="32"/>
          <w:szCs w:val="32"/>
        </w:rPr>
        <w:t>比对</w:t>
      </w:r>
      <w:r>
        <w:rPr>
          <w:rFonts w:hint="eastAsia" w:ascii="仿宋" w:hAnsi="仿宋" w:eastAsia="仿宋" w:cs="仿宋"/>
          <w:color w:val="000000"/>
          <w:sz w:val="32"/>
          <w:szCs w:val="32"/>
          <w:lang w:eastAsia="zh-Hans"/>
        </w:rPr>
        <w:t>源头数据量和前置机数据量，</w:t>
      </w:r>
      <w:r>
        <w:rPr>
          <w:rFonts w:hint="eastAsia" w:ascii="仿宋" w:hAnsi="仿宋" w:eastAsia="仿宋" w:cs="仿宋"/>
          <w:color w:val="000000"/>
          <w:sz w:val="32"/>
          <w:szCs w:val="32"/>
        </w:rPr>
        <w:t>确保上报数据完整</w:t>
      </w:r>
      <w:r>
        <w:rPr>
          <w:rFonts w:hint="eastAsia" w:ascii="仿宋" w:hAnsi="仿宋" w:eastAsia="仿宋" w:cs="仿宋"/>
          <w:color w:val="000000"/>
          <w:sz w:val="32"/>
          <w:szCs w:val="32"/>
          <w:lang w:eastAsia="zh-Hans"/>
        </w:rPr>
        <w:t>；</w:t>
      </w:r>
    </w:p>
    <w:p w14:paraId="2BC6E078">
      <w:pPr>
        <w:numPr>
          <w:ilvl w:val="0"/>
          <w:numId w:val="6"/>
        </w:numPr>
        <w:ind w:firstLine="480"/>
        <w:rPr>
          <w:rFonts w:hint="eastAsia" w:ascii="仿宋" w:hAnsi="仿宋" w:eastAsia="仿宋" w:cs="仿宋"/>
          <w:color w:val="000000"/>
          <w:sz w:val="32"/>
          <w:szCs w:val="32"/>
          <w:lang w:eastAsia="zh-Hans"/>
        </w:rPr>
      </w:pPr>
      <w:r>
        <w:rPr>
          <w:rFonts w:hint="eastAsia" w:ascii="仿宋" w:hAnsi="仿宋" w:eastAsia="仿宋" w:cs="仿宋"/>
          <w:color w:val="000000"/>
          <w:sz w:val="32"/>
          <w:szCs w:val="32"/>
          <w:lang w:eastAsia="zh-Hans"/>
        </w:rPr>
        <w:t>进行</w:t>
      </w:r>
      <w:r>
        <w:rPr>
          <w:rFonts w:hint="eastAsia" w:ascii="仿宋" w:hAnsi="仿宋" w:eastAsia="仿宋" w:cs="仿宋"/>
          <w:color w:val="000000"/>
          <w:sz w:val="32"/>
          <w:szCs w:val="32"/>
        </w:rPr>
        <w:t>数据</w:t>
      </w:r>
      <w:r>
        <w:rPr>
          <w:rFonts w:hint="eastAsia" w:ascii="仿宋" w:hAnsi="仿宋" w:eastAsia="仿宋" w:cs="仿宋"/>
          <w:color w:val="000000"/>
          <w:sz w:val="32"/>
          <w:szCs w:val="32"/>
          <w:lang w:eastAsia="zh-Hans"/>
        </w:rPr>
        <w:t>关联</w:t>
      </w:r>
      <w:r>
        <w:rPr>
          <w:rFonts w:hint="eastAsia" w:ascii="仿宋" w:hAnsi="仿宋" w:eastAsia="仿宋" w:cs="仿宋"/>
          <w:color w:val="000000"/>
          <w:sz w:val="32"/>
          <w:szCs w:val="32"/>
        </w:rPr>
        <w:t>性对比，统计关联率，确保上报数据符合业务逻辑</w:t>
      </w:r>
      <w:r>
        <w:rPr>
          <w:rFonts w:hint="eastAsia" w:ascii="仿宋" w:hAnsi="仿宋" w:eastAsia="仿宋" w:cs="仿宋"/>
          <w:color w:val="000000"/>
          <w:sz w:val="32"/>
          <w:szCs w:val="32"/>
          <w:lang w:eastAsia="zh-Hans"/>
        </w:rPr>
        <w:t>；</w:t>
      </w:r>
    </w:p>
    <w:p w14:paraId="553F7B40">
      <w:pPr>
        <w:numPr>
          <w:ilvl w:val="0"/>
          <w:numId w:val="6"/>
        </w:numPr>
        <w:ind w:firstLine="480"/>
        <w:rPr>
          <w:rFonts w:hint="eastAsia" w:ascii="仿宋" w:hAnsi="仿宋" w:eastAsia="仿宋" w:cs="仿宋"/>
          <w:color w:val="000000"/>
          <w:sz w:val="32"/>
          <w:szCs w:val="32"/>
          <w:lang w:eastAsia="zh-Hans"/>
        </w:rPr>
      </w:pPr>
      <w:r>
        <w:rPr>
          <w:rFonts w:hint="eastAsia" w:ascii="仿宋" w:hAnsi="仿宋" w:eastAsia="仿宋" w:cs="仿宋"/>
          <w:color w:val="000000"/>
          <w:sz w:val="32"/>
          <w:szCs w:val="32"/>
        </w:rPr>
        <w:t>提供病案首页质量校验规则库，对病案首页数据完整率进行校验</w:t>
      </w:r>
      <w:r>
        <w:rPr>
          <w:rFonts w:hint="eastAsia" w:ascii="仿宋" w:hAnsi="仿宋" w:eastAsia="仿宋" w:cs="仿宋"/>
          <w:color w:val="000000"/>
          <w:sz w:val="32"/>
          <w:szCs w:val="32"/>
          <w:lang w:eastAsia="zh-Hans"/>
        </w:rPr>
        <w:t>。</w:t>
      </w:r>
    </w:p>
    <w:p w14:paraId="0D5EF1B0">
      <w:pPr>
        <w:pStyle w:val="3"/>
        <w:bidi w:val="0"/>
        <w:rPr>
          <w:rFonts w:hint="eastAsia" w:ascii="仿宋" w:hAnsi="仿宋" w:eastAsia="仿宋" w:cs="仿宋"/>
          <w:sz w:val="32"/>
          <w:szCs w:val="32"/>
          <w:lang w:eastAsia="zh-Hans"/>
        </w:rPr>
      </w:pPr>
      <w:r>
        <w:rPr>
          <w:rFonts w:hint="eastAsia" w:ascii="仿宋" w:hAnsi="仿宋" w:eastAsia="仿宋" w:cs="仿宋"/>
          <w:sz w:val="32"/>
          <w:szCs w:val="32"/>
          <w:lang w:val="en-US" w:eastAsia="zh-Hans"/>
        </w:rPr>
        <w:t>项目</w:t>
      </w:r>
      <w:r>
        <w:rPr>
          <w:rFonts w:hint="eastAsia" w:ascii="仿宋" w:hAnsi="仿宋" w:eastAsia="仿宋" w:cs="仿宋"/>
          <w:sz w:val="32"/>
          <w:szCs w:val="32"/>
          <w:lang w:eastAsia="zh-Hans"/>
        </w:rPr>
        <w:t>培训</w:t>
      </w:r>
    </w:p>
    <w:p w14:paraId="44569A0E">
      <w:pPr>
        <w:pStyle w:val="4"/>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对码工具培训</w:t>
      </w:r>
    </w:p>
    <w:p w14:paraId="477D9A98">
      <w:pPr>
        <w:ind w:firstLine="480"/>
        <w:rPr>
          <w:rFonts w:hint="eastAsia" w:ascii="仿宋" w:hAnsi="仿宋" w:eastAsia="仿宋" w:cs="仿宋"/>
          <w:sz w:val="32"/>
          <w:szCs w:val="32"/>
          <w:lang w:eastAsia="zh-Hans"/>
        </w:rPr>
      </w:pPr>
      <w:r>
        <w:rPr>
          <w:rFonts w:hint="eastAsia" w:ascii="仿宋" w:hAnsi="仿宋" w:eastAsia="仿宋" w:cs="仿宋"/>
          <w:sz w:val="32"/>
          <w:szCs w:val="32"/>
          <w:lang w:eastAsia="zh-Hans"/>
        </w:rPr>
        <w:t>目前医院已有对码工具，医院码表对照工作由医院工作人员完成，在医院遇到问题时</w:t>
      </w:r>
      <w:r>
        <w:rPr>
          <w:rFonts w:hint="eastAsia" w:ascii="仿宋" w:hAnsi="仿宋" w:eastAsia="仿宋" w:cs="仿宋"/>
          <w:sz w:val="32"/>
          <w:szCs w:val="32"/>
          <w:lang w:val="en-US" w:eastAsia="zh-Hans"/>
        </w:rPr>
        <w:t>服务商</w:t>
      </w:r>
      <w:r>
        <w:rPr>
          <w:rFonts w:hint="eastAsia" w:ascii="仿宋" w:hAnsi="仿宋" w:eastAsia="仿宋" w:cs="仿宋"/>
          <w:sz w:val="32"/>
          <w:szCs w:val="32"/>
          <w:lang w:eastAsia="zh-Hans"/>
        </w:rPr>
        <w:t>协助医院按照标准进行值域转换工作，如：过敏药物、ABO血型、Rh（D）血型、离院方式、方位信息、特殊病例、科室字典、检查部位、异常提示、麻醉方式、手术等级、手术切口分类、手术切开愈合、ICD9等各类类值域字典。</w:t>
      </w:r>
    </w:p>
    <w:p w14:paraId="3F40FA13">
      <w:pPr>
        <w:ind w:firstLine="480"/>
        <w:rPr>
          <w:rFonts w:hint="eastAsia" w:ascii="仿宋" w:hAnsi="仿宋" w:eastAsia="仿宋" w:cs="仿宋"/>
          <w:sz w:val="32"/>
          <w:szCs w:val="32"/>
          <w:lang w:eastAsia="zh-Hans"/>
        </w:rPr>
      </w:pPr>
      <w:r>
        <w:rPr>
          <w:rFonts w:hint="eastAsia" w:ascii="仿宋" w:hAnsi="仿宋" w:eastAsia="仿宋" w:cs="仿宋"/>
          <w:sz w:val="32"/>
          <w:szCs w:val="32"/>
          <w:lang w:eastAsia="zh-Hans"/>
        </w:rPr>
        <w:t>为了保障项目的延续性，在项目服务期间内医院相关人员</w:t>
      </w:r>
      <w:r>
        <w:rPr>
          <w:rFonts w:hint="eastAsia" w:ascii="仿宋" w:hAnsi="仿宋" w:eastAsia="仿宋" w:cs="仿宋"/>
          <w:sz w:val="32"/>
          <w:szCs w:val="32"/>
          <w:lang w:val="en-US" w:eastAsia="zh-Hans"/>
        </w:rPr>
        <w:t>还会学习</w:t>
      </w:r>
      <w:r>
        <w:rPr>
          <w:rFonts w:hint="eastAsia" w:ascii="仿宋" w:hAnsi="仿宋" w:eastAsia="仿宋" w:cs="仿宋"/>
          <w:sz w:val="32"/>
          <w:szCs w:val="32"/>
          <w:lang w:eastAsia="zh-Hans"/>
        </w:rPr>
        <w:t>使用对码工具。</w:t>
      </w:r>
    </w:p>
    <w:p w14:paraId="0047318B">
      <w:pPr>
        <w:pStyle w:val="4"/>
        <w:bidi w:val="0"/>
        <w:rPr>
          <w:rFonts w:hint="eastAsia" w:ascii="仿宋" w:hAnsi="仿宋" w:eastAsia="仿宋" w:cs="仿宋"/>
          <w:sz w:val="32"/>
          <w:szCs w:val="32"/>
          <w:lang w:eastAsia="zh-Hans"/>
        </w:rPr>
      </w:pPr>
      <w:r>
        <w:rPr>
          <w:rFonts w:hint="eastAsia" w:ascii="仿宋" w:hAnsi="仿宋" w:eastAsia="仿宋" w:cs="仿宋"/>
          <w:sz w:val="32"/>
          <w:szCs w:val="32"/>
          <w:lang w:eastAsia="zh-Hans"/>
        </w:rPr>
        <w:t>巡检工具培训</w:t>
      </w:r>
    </w:p>
    <w:p w14:paraId="456310E0">
      <w:pPr>
        <w:ind w:firstLine="480"/>
        <w:rPr>
          <w:rFonts w:hint="eastAsia" w:ascii="仿宋" w:hAnsi="仿宋" w:eastAsia="仿宋" w:cs="仿宋"/>
          <w:sz w:val="32"/>
          <w:szCs w:val="32"/>
          <w:lang w:eastAsia="zh-Hans"/>
        </w:rPr>
      </w:pPr>
      <w:r>
        <w:rPr>
          <w:rFonts w:hint="eastAsia" w:ascii="仿宋" w:hAnsi="仿宋" w:eastAsia="仿宋" w:cs="仿宋"/>
          <w:sz w:val="32"/>
          <w:szCs w:val="32"/>
          <w:lang w:eastAsia="zh-Hans"/>
        </w:rPr>
        <w:t>在巡检工具部署完成后，为医院提供巡检工具培训并根据医院实际需求提供具体的培训计划。</w:t>
      </w:r>
    </w:p>
    <w:p w14:paraId="2AC3796A">
      <w:pPr>
        <w:pStyle w:val="2"/>
        <w:bidi w:val="0"/>
        <w:rPr>
          <w:rFonts w:hint="eastAsia" w:ascii="仿宋" w:hAnsi="仿宋" w:eastAsia="仿宋" w:cs="仿宋"/>
          <w:sz w:val="32"/>
          <w:szCs w:val="32"/>
        </w:rPr>
      </w:pPr>
      <w:r>
        <w:rPr>
          <w:rFonts w:hint="eastAsia" w:ascii="仿宋" w:hAnsi="仿宋" w:eastAsia="仿宋" w:cs="仿宋"/>
          <w:sz w:val="32"/>
          <w:szCs w:val="32"/>
          <w:lang w:val="en-US" w:eastAsia="zh-Hans"/>
        </w:rPr>
        <w:t>项目建设效果</w:t>
      </w:r>
    </w:p>
    <w:p w14:paraId="617880C3">
      <w:pPr>
        <w:pStyle w:val="3"/>
        <w:bidi w:val="0"/>
        <w:rPr>
          <w:rFonts w:hint="eastAsia" w:ascii="仿宋" w:hAnsi="仿宋" w:eastAsia="仿宋" w:cs="仿宋"/>
          <w:sz w:val="32"/>
          <w:szCs w:val="32"/>
          <w:lang w:val="en-US"/>
        </w:rPr>
      </w:pPr>
      <w:r>
        <w:rPr>
          <w:rFonts w:hint="eastAsia" w:ascii="仿宋" w:hAnsi="仿宋" w:eastAsia="仿宋" w:cs="仿宋"/>
          <w:sz w:val="32"/>
          <w:szCs w:val="32"/>
          <w:lang w:val="en-US" w:eastAsia="zh-Hans"/>
        </w:rPr>
        <w:t>提升医院数据的完整性、逻辑性和准确性</w:t>
      </w:r>
    </w:p>
    <w:p w14:paraId="16BC68A2">
      <w:pPr>
        <w:bidi w:val="0"/>
        <w:rPr>
          <w:rFonts w:hint="eastAsia" w:ascii="仿宋" w:hAnsi="仿宋" w:eastAsia="仿宋" w:cs="仿宋"/>
          <w:sz w:val="32"/>
          <w:szCs w:val="32"/>
          <w:lang w:val="en-US" w:eastAsia="zh-Hans"/>
        </w:rPr>
      </w:pPr>
      <w:r>
        <w:rPr>
          <w:rFonts w:hint="eastAsia" w:ascii="仿宋" w:hAnsi="仿宋" w:eastAsia="仿宋" w:cs="仿宋"/>
          <w:sz w:val="32"/>
          <w:szCs w:val="32"/>
          <w:lang w:val="en-US" w:eastAsia="zh-Hans"/>
        </w:rPr>
        <w:t>通过本次项目，医院将使用自动巡检工具进行医院上报数据工作的日常校验，包含新系统上线后的新增数据和老系统的补录数据在内的</w:t>
      </w:r>
      <w:r>
        <w:rPr>
          <w:rFonts w:hint="eastAsia" w:ascii="仿宋" w:hAnsi="仿宋" w:eastAsia="仿宋" w:cs="仿宋"/>
          <w:sz w:val="32"/>
          <w:szCs w:val="32"/>
          <w:lang w:val="en-US" w:eastAsia="zh-CN"/>
        </w:rPr>
        <w:t>43</w:t>
      </w:r>
      <w:r>
        <w:rPr>
          <w:rFonts w:hint="eastAsia" w:ascii="仿宋" w:hAnsi="仿宋" w:eastAsia="仿宋" w:cs="仿宋"/>
          <w:sz w:val="32"/>
          <w:szCs w:val="32"/>
          <w:lang w:val="en-US" w:eastAsia="zh-Hans"/>
        </w:rPr>
        <w:t>张表的数据的完整性、逻辑性和准确性，并进行校验结果反馈。</w:t>
      </w:r>
    </w:p>
    <w:p w14:paraId="0CE8883D">
      <w:pPr>
        <w:numPr>
          <w:ilvl w:val="0"/>
          <w:numId w:val="7"/>
        </w:numPr>
        <w:bidi w:val="0"/>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从数据源头开始，</w:t>
      </w:r>
      <w:r>
        <w:rPr>
          <w:rFonts w:hint="eastAsia" w:ascii="仿宋" w:hAnsi="仿宋" w:eastAsia="仿宋" w:cs="仿宋"/>
          <w:sz w:val="32"/>
          <w:szCs w:val="32"/>
        </w:rPr>
        <w:t>定期（每日或每月）执行</w:t>
      </w:r>
      <w:r>
        <w:rPr>
          <w:rFonts w:hint="eastAsia" w:ascii="仿宋" w:hAnsi="仿宋" w:eastAsia="仿宋" w:cs="仿宋"/>
          <w:sz w:val="32"/>
          <w:szCs w:val="32"/>
          <w:lang w:eastAsia="zh-CN"/>
        </w:rPr>
        <w:t>，</w:t>
      </w:r>
      <w:r>
        <w:rPr>
          <w:rFonts w:hint="eastAsia" w:ascii="仿宋" w:hAnsi="仿宋" w:eastAsia="仿宋" w:cs="仿宋"/>
          <w:sz w:val="32"/>
          <w:szCs w:val="32"/>
        </w:rPr>
        <w:t>自动比对源头数据量和前置机数据量，并将稽核结果保存以供查看。根据预先的配置，由系统自动对生成的数据结果进行统计，并和设置的阀值比较异常的结果，自动记录进日志</w:t>
      </w:r>
      <w:r>
        <w:rPr>
          <w:rFonts w:hint="eastAsia" w:ascii="仿宋" w:hAnsi="仿宋" w:eastAsia="仿宋" w:cs="仿宋"/>
          <w:sz w:val="32"/>
          <w:szCs w:val="32"/>
          <w:lang w:eastAsia="zh-CN"/>
        </w:rPr>
        <w:t>，</w:t>
      </w:r>
      <w:r>
        <w:rPr>
          <w:rFonts w:hint="eastAsia" w:ascii="仿宋" w:hAnsi="仿宋" w:eastAsia="仿宋" w:cs="仿宋"/>
          <w:sz w:val="32"/>
          <w:szCs w:val="32"/>
        </w:rPr>
        <w:t>确保上报数据完整；</w:t>
      </w:r>
    </w:p>
    <w:p w14:paraId="290D0485">
      <w:pPr>
        <w:numPr>
          <w:ilvl w:val="0"/>
          <w:numId w:val="7"/>
        </w:numPr>
        <w:bidi w:val="0"/>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数据关联性对比，统计关联率，确保上报数据符合业务逻辑；</w:t>
      </w:r>
    </w:p>
    <w:p w14:paraId="525CFF40">
      <w:pPr>
        <w:numPr>
          <w:ilvl w:val="0"/>
          <w:numId w:val="7"/>
        </w:numPr>
        <w:bidi w:val="0"/>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提供病案首页质量校验规则库，对病案首页数据完整率进行校验。</w:t>
      </w:r>
    </w:p>
    <w:p w14:paraId="38EB6F4A">
      <w:pPr>
        <w:bidi w:val="0"/>
        <w:rPr>
          <w:rFonts w:hint="eastAsia" w:ascii="仿宋" w:hAnsi="仿宋" w:eastAsia="仿宋" w:cs="仿宋"/>
          <w:sz w:val="32"/>
          <w:szCs w:val="32"/>
          <w:lang w:eastAsia="zh-CN"/>
        </w:rPr>
      </w:pPr>
      <w:r>
        <w:rPr>
          <w:rFonts w:hint="eastAsia" w:ascii="仿宋" w:hAnsi="仿宋" w:eastAsia="仿宋" w:cs="仿宋"/>
          <w:sz w:val="32"/>
          <w:szCs w:val="32"/>
        </w:rPr>
        <w:t>病案首页是患者诊疗信息最集中的核心部分，其内容质量涉及到科室工作指标和各项医疗数据的准确性，影响到管理质量，影响到信息资料的客观、准确、完整。就目前现状来看，医院在病案首页填写与质量管理方面依旧存在诸多问题</w:t>
      </w:r>
      <w:r>
        <w:rPr>
          <w:rFonts w:hint="eastAsia" w:ascii="仿宋" w:hAnsi="仿宋" w:eastAsia="仿宋" w:cs="仿宋"/>
          <w:sz w:val="32"/>
          <w:szCs w:val="32"/>
          <w:lang w:eastAsia="zh-CN"/>
        </w:rPr>
        <w:t>：</w:t>
      </w:r>
    </w:p>
    <w:p w14:paraId="0AA0E4C3">
      <w:pPr>
        <w:widowControl/>
        <w:numPr>
          <w:ilvl w:val="0"/>
          <w:numId w:val="8"/>
        </w:numPr>
        <w:ind w:left="0" w:leftChars="0"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患者基本信息填写不正确或不完整。主要体现为信息录入错误或者逻辑性错误，主要包括患者身份证号码、联系方式、人员类别、付费方式等漏填或错填</w:t>
      </w:r>
      <w:r>
        <w:rPr>
          <w:rFonts w:hint="eastAsia" w:ascii="仿宋" w:hAnsi="仿宋" w:eastAsia="仿宋" w:cs="仿宋"/>
          <w:kern w:val="0"/>
          <w:sz w:val="32"/>
          <w:szCs w:val="32"/>
          <w:lang w:eastAsia="zh-CN"/>
        </w:rPr>
        <w:t>；</w:t>
      </w:r>
    </w:p>
    <w:p w14:paraId="1EAB0F74">
      <w:pPr>
        <w:widowControl/>
        <w:numPr>
          <w:ilvl w:val="0"/>
          <w:numId w:val="8"/>
        </w:numPr>
        <w:ind w:left="0" w:leftChars="0"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反映病情严重程度及复杂性数据质量的诊断信息录入不规范。包括主要诊断错误、遗漏、不规范、不全面；其他诊断错误、空缺、不规范；年龄、性别等个体因素空缺或不准确</w:t>
      </w:r>
      <w:r>
        <w:rPr>
          <w:rFonts w:hint="eastAsia" w:ascii="仿宋" w:hAnsi="仿宋" w:eastAsia="仿宋" w:cs="仿宋"/>
          <w:kern w:val="0"/>
          <w:sz w:val="32"/>
          <w:szCs w:val="32"/>
          <w:lang w:eastAsia="zh-CN"/>
        </w:rPr>
        <w:t>；</w:t>
      </w:r>
    </w:p>
    <w:p w14:paraId="74907154">
      <w:pPr>
        <w:widowControl/>
        <w:numPr>
          <w:ilvl w:val="0"/>
          <w:numId w:val="8"/>
        </w:numPr>
        <w:ind w:left="0" w:leftChars="0"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手术及操作信息栏不完整。例如，主要手术漏填、不准确；其他手术或操作漏填、不准确；重症监护时间、呼吸机使用时间全部空缺等错误</w:t>
      </w:r>
      <w:r>
        <w:rPr>
          <w:rFonts w:hint="eastAsia" w:ascii="仿宋" w:hAnsi="仿宋" w:eastAsia="仿宋" w:cs="仿宋"/>
          <w:kern w:val="0"/>
          <w:sz w:val="32"/>
          <w:szCs w:val="32"/>
          <w:lang w:eastAsia="zh-CN"/>
        </w:rPr>
        <w:t>；</w:t>
      </w:r>
    </w:p>
    <w:p w14:paraId="3526EC1A">
      <w:pPr>
        <w:widowControl/>
        <w:numPr>
          <w:ilvl w:val="0"/>
          <w:numId w:val="8"/>
        </w:numPr>
        <w:ind w:left="0" w:leftChars="0"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出院转归填写不正确。病案首页中出院状态不正确（死亡、医嘱出院、非医嘱出院、转院信息不正确）填写便会导致此类问题</w:t>
      </w:r>
      <w:r>
        <w:rPr>
          <w:rFonts w:hint="eastAsia" w:ascii="仿宋" w:hAnsi="仿宋" w:eastAsia="仿宋" w:cs="仿宋"/>
          <w:kern w:val="0"/>
          <w:sz w:val="32"/>
          <w:szCs w:val="32"/>
          <w:lang w:eastAsia="zh-CN"/>
        </w:rPr>
        <w:t>；</w:t>
      </w:r>
    </w:p>
    <w:p w14:paraId="23125A5E">
      <w:pPr>
        <w:widowControl/>
        <w:numPr>
          <w:ilvl w:val="0"/>
          <w:numId w:val="8"/>
        </w:numPr>
        <w:ind w:left="0" w:leftChars="0"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费用与时间消耗存在漏洞。病案首页中存在有手术操作，手术费为0；分项收费不等于总费用；入院时间大于出院时间等错误问题。</w:t>
      </w:r>
    </w:p>
    <w:p w14:paraId="6F9B100A">
      <w:pPr>
        <w:pStyle w:val="16"/>
        <w:rPr>
          <w:rFonts w:hint="eastAsia" w:ascii="仿宋" w:hAnsi="仿宋" w:eastAsia="仿宋" w:cs="仿宋"/>
          <w:sz w:val="32"/>
          <w:szCs w:val="32"/>
          <w:lang w:val="en-US" w:eastAsia="zh-CN"/>
        </w:rPr>
      </w:pPr>
      <w:r>
        <w:rPr>
          <w:rFonts w:hint="eastAsia" w:ascii="仿宋" w:hAnsi="仿宋" w:eastAsia="仿宋" w:cs="仿宋"/>
          <w:sz w:val="32"/>
          <w:szCs w:val="32"/>
          <w:lang w:val="en-US" w:eastAsia="zh-Hans"/>
        </w:rPr>
        <w:t>通过本次项目部署的</w:t>
      </w:r>
      <w:r>
        <w:rPr>
          <w:rFonts w:hint="eastAsia" w:ascii="仿宋" w:hAnsi="仿宋" w:eastAsia="仿宋" w:cs="仿宋"/>
          <w:sz w:val="32"/>
          <w:szCs w:val="32"/>
          <w:lang w:val="en-US" w:eastAsia="zh-CN"/>
        </w:rPr>
        <w:t>自动巡检分析工具内置完善的质控规则知识库，包括基本信息质控、手术信息质控、诊断信息质控、文书联动质控等，在部署阶段可根据医院自己的个性化需求，增加或删除部分质控规则，满足医院的质控标准。</w:t>
      </w:r>
    </w:p>
    <w:p w14:paraId="38F50CC2">
      <w:pPr>
        <w:pStyle w:val="2"/>
        <w:bidi w:val="0"/>
        <w:rPr>
          <w:rFonts w:hint="eastAsia" w:ascii="仿宋" w:hAnsi="仿宋" w:eastAsia="仿宋" w:cs="仿宋"/>
          <w:sz w:val="32"/>
          <w:szCs w:val="32"/>
        </w:rPr>
      </w:pPr>
      <w:r>
        <w:rPr>
          <w:rFonts w:hint="eastAsia" w:ascii="仿宋" w:hAnsi="仿宋" w:eastAsia="仿宋" w:cs="仿宋"/>
          <w:sz w:val="32"/>
          <w:szCs w:val="32"/>
          <w:lang w:val="en-US" w:eastAsia="zh-Hans"/>
        </w:rPr>
        <w:t>服务周期</w:t>
      </w:r>
    </w:p>
    <w:p w14:paraId="2B5711AC">
      <w:pPr>
        <w:spacing w:before="120"/>
        <w:ind w:firstLine="480"/>
        <w:rPr>
          <w:rFonts w:hint="eastAsia" w:ascii="仿宋" w:hAnsi="仿宋" w:eastAsia="仿宋" w:cs="仿宋"/>
          <w:sz w:val="32"/>
          <w:szCs w:val="32"/>
        </w:rPr>
      </w:pPr>
      <w:r>
        <w:rPr>
          <w:rFonts w:hint="eastAsia" w:ascii="仿宋" w:hAnsi="仿宋" w:eastAsia="仿宋" w:cs="仿宋"/>
          <w:bCs/>
          <w:sz w:val="32"/>
          <w:szCs w:val="32"/>
        </w:rPr>
        <w:t>本项目工期为</w:t>
      </w:r>
      <w:r>
        <w:rPr>
          <w:rFonts w:hint="eastAsia" w:ascii="仿宋" w:hAnsi="仿宋" w:eastAsia="仿宋" w:cs="仿宋"/>
          <w:bCs/>
          <w:sz w:val="32"/>
          <w:szCs w:val="32"/>
          <w:lang w:eastAsia="zh-Hans"/>
        </w:rPr>
        <w:t>一年。</w:t>
      </w:r>
    </w:p>
    <w:p w14:paraId="2A3F8A15">
      <w:pPr>
        <w:pStyle w:val="2"/>
        <w:bidi w:val="0"/>
        <w:rPr>
          <w:rFonts w:hint="eastAsia" w:ascii="仿宋" w:hAnsi="仿宋" w:eastAsia="仿宋" w:cs="仿宋"/>
          <w:sz w:val="32"/>
          <w:szCs w:val="32"/>
        </w:rPr>
      </w:pPr>
      <w:r>
        <w:rPr>
          <w:rFonts w:hint="eastAsia" w:ascii="仿宋" w:hAnsi="仿宋" w:eastAsia="仿宋" w:cs="仿宋"/>
          <w:sz w:val="32"/>
          <w:szCs w:val="32"/>
          <w:lang w:val="en-US" w:eastAsia="zh-Hans"/>
        </w:rPr>
        <w:t>培训内容</w:t>
      </w:r>
    </w:p>
    <w:p w14:paraId="0D42AED4">
      <w:pPr>
        <w:spacing w:before="120"/>
        <w:ind w:firstLine="480"/>
        <w:rPr>
          <w:rFonts w:hint="eastAsia" w:ascii="仿宋" w:hAnsi="仿宋" w:eastAsia="仿宋" w:cs="仿宋"/>
          <w:b/>
          <w:sz w:val="32"/>
          <w:szCs w:val="32"/>
        </w:rPr>
      </w:pPr>
      <w:r>
        <w:rPr>
          <w:rFonts w:hint="eastAsia" w:ascii="仿宋" w:hAnsi="仿宋" w:eastAsia="仿宋" w:cs="仿宋"/>
          <w:bCs/>
          <w:sz w:val="32"/>
          <w:szCs w:val="32"/>
        </w:rPr>
        <w:t>提供操作培训方案，方案内容包括但不限于培训方式、培训课时及培训目标成果等内容</w:t>
      </w:r>
      <w:r>
        <w:rPr>
          <w:rFonts w:hint="eastAsia" w:ascii="仿宋" w:hAnsi="仿宋" w:eastAsia="仿宋" w:cs="仿宋"/>
          <w:bCs/>
          <w:sz w:val="32"/>
          <w:szCs w:val="32"/>
          <w:lang w:eastAsia="zh-Hans"/>
        </w:rPr>
        <w:t>。</w:t>
      </w:r>
    </w:p>
    <w:p w14:paraId="7B1EC326">
      <w:pPr>
        <w:pStyle w:val="2"/>
        <w:bidi w:val="0"/>
        <w:rPr>
          <w:rFonts w:hint="eastAsia" w:ascii="仿宋" w:hAnsi="仿宋" w:eastAsia="仿宋" w:cs="仿宋"/>
          <w:sz w:val="32"/>
          <w:szCs w:val="32"/>
        </w:rPr>
      </w:pPr>
      <w:r>
        <w:rPr>
          <w:rFonts w:hint="eastAsia" w:ascii="仿宋" w:hAnsi="仿宋" w:eastAsia="仿宋" w:cs="仿宋"/>
          <w:sz w:val="32"/>
          <w:szCs w:val="32"/>
          <w:lang w:val="en-US" w:eastAsia="zh-Hans"/>
        </w:rPr>
        <w:t>服务方式及响应时间</w:t>
      </w:r>
    </w:p>
    <w:p w14:paraId="413A4E52">
      <w:pPr>
        <w:bidi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Hans"/>
        </w:rPr>
        <w:t>本项目主要服务方式以</w:t>
      </w:r>
      <w:r>
        <w:rPr>
          <w:rFonts w:hint="eastAsia" w:ascii="仿宋" w:hAnsi="仿宋" w:eastAsia="仿宋" w:cs="仿宋"/>
          <w:sz w:val="32"/>
          <w:szCs w:val="32"/>
          <w:lang w:val="en-US" w:eastAsia="zh-CN"/>
        </w:rPr>
        <w:t>远程为主，必要时可提供现场服务，包括但不限于：电话、电子邮件、微信等。</w:t>
      </w:r>
    </w:p>
    <w:p w14:paraId="1E676E37">
      <w:pPr>
        <w:bidi w:val="0"/>
        <w:rPr>
          <w:rFonts w:hint="eastAsia" w:ascii="仿宋" w:hAnsi="仿宋" w:eastAsia="仿宋" w:cs="仿宋"/>
          <w:sz w:val="32"/>
          <w:szCs w:val="32"/>
        </w:rPr>
      </w:pPr>
      <w:r>
        <w:rPr>
          <w:rFonts w:hint="eastAsia" w:ascii="仿宋" w:hAnsi="仿宋" w:eastAsia="仿宋" w:cs="仿宋"/>
          <w:sz w:val="32"/>
          <w:szCs w:val="32"/>
          <w:lang w:eastAsia="zh-Hans"/>
        </w:rPr>
        <w:t>在服务期内，</w:t>
      </w:r>
      <w:r>
        <w:rPr>
          <w:rFonts w:hint="eastAsia" w:ascii="仿宋" w:hAnsi="仿宋" w:eastAsia="仿宋" w:cs="仿宋"/>
          <w:sz w:val="32"/>
          <w:szCs w:val="32"/>
        </w:rPr>
        <w:t>项目所有技术和服务发生任何非人为故障，由</w:t>
      </w:r>
      <w:r>
        <w:rPr>
          <w:rFonts w:hint="eastAsia" w:ascii="仿宋" w:hAnsi="仿宋" w:eastAsia="仿宋" w:cs="仿宋"/>
          <w:sz w:val="32"/>
          <w:szCs w:val="32"/>
          <w:lang w:val="en-US" w:eastAsia="zh-Hans"/>
        </w:rPr>
        <w:t>服务商</w:t>
      </w:r>
      <w:r>
        <w:rPr>
          <w:rFonts w:hint="eastAsia" w:ascii="仿宋" w:hAnsi="仿宋" w:eastAsia="仿宋" w:cs="仿宋"/>
          <w:sz w:val="32"/>
          <w:szCs w:val="32"/>
        </w:rPr>
        <w:t>负责系统恢复。在收到通知后2小时内响应，并在24小时内完成全部维修工作。</w:t>
      </w:r>
    </w:p>
    <w:p w14:paraId="08C27E49">
      <w:pPr>
        <w:pStyle w:val="2"/>
        <w:bidi w:val="0"/>
        <w:rPr>
          <w:rFonts w:hint="eastAsia" w:ascii="仿宋" w:hAnsi="仿宋" w:eastAsia="仿宋" w:cs="仿宋"/>
          <w:sz w:val="32"/>
          <w:szCs w:val="32"/>
        </w:rPr>
      </w:pPr>
      <w:r>
        <w:rPr>
          <w:rFonts w:hint="eastAsia" w:ascii="仿宋" w:hAnsi="仿宋" w:eastAsia="仿宋" w:cs="仿宋"/>
          <w:sz w:val="32"/>
          <w:szCs w:val="32"/>
        </w:rPr>
        <w:t>付款条件</w:t>
      </w:r>
    </w:p>
    <w:p w14:paraId="3C373D12">
      <w:pPr>
        <w:ind w:firstLine="480"/>
        <w:rPr>
          <w:rFonts w:hint="eastAsia" w:ascii="仿宋" w:hAnsi="仿宋" w:eastAsia="仿宋" w:cs="仿宋"/>
          <w:sz w:val="32"/>
          <w:szCs w:val="32"/>
          <w:lang w:val="en-US" w:eastAsia="zh-CN"/>
        </w:rPr>
      </w:pPr>
      <w:r>
        <w:rPr>
          <w:rFonts w:hint="eastAsia" w:ascii="仿宋" w:hAnsi="仿宋" w:eastAsia="仿宋" w:cs="仿宋"/>
          <w:sz w:val="32"/>
          <w:szCs w:val="32"/>
        </w:rPr>
        <w:t>1.</w:t>
      </w:r>
      <w:r>
        <w:rPr>
          <w:rFonts w:hint="eastAsia" w:ascii="仿宋" w:hAnsi="仿宋" w:eastAsia="仿宋" w:cs="仿宋"/>
          <w:sz w:val="32"/>
          <w:szCs w:val="32"/>
          <w:lang w:eastAsia="zh-CN"/>
        </w:rPr>
        <w:t>半年服务期满支付</w:t>
      </w:r>
      <w:r>
        <w:rPr>
          <w:rFonts w:hint="eastAsia" w:ascii="仿宋" w:hAnsi="仿宋" w:eastAsia="仿宋" w:cs="仿宋"/>
          <w:sz w:val="32"/>
          <w:szCs w:val="32"/>
          <w:lang w:val="en-US" w:eastAsia="zh-CN"/>
        </w:rPr>
        <w:t>50%</w:t>
      </w:r>
      <w:r>
        <w:rPr>
          <w:rFonts w:hint="eastAsia" w:ascii="仿宋" w:hAnsi="仿宋" w:eastAsia="仿宋" w:cs="仿宋"/>
          <w:sz w:val="32"/>
          <w:szCs w:val="32"/>
          <w:lang w:eastAsia="zh-Hans"/>
        </w:rPr>
        <w:t>；</w:t>
      </w:r>
      <w:r>
        <w:rPr>
          <w:rFonts w:hint="eastAsia" w:ascii="仿宋" w:hAnsi="仿宋" w:eastAsia="仿宋" w:cs="仿宋"/>
          <w:sz w:val="32"/>
          <w:szCs w:val="32"/>
          <w:lang w:eastAsia="zh-CN"/>
        </w:rPr>
        <w:t>一年服务期结束支付剩余</w:t>
      </w:r>
      <w:r>
        <w:rPr>
          <w:rFonts w:hint="eastAsia" w:ascii="仿宋" w:hAnsi="仿宋" w:eastAsia="仿宋" w:cs="仿宋"/>
          <w:sz w:val="32"/>
          <w:szCs w:val="32"/>
          <w:lang w:val="en-US" w:eastAsia="zh-CN"/>
        </w:rPr>
        <w:t>50%。</w:t>
      </w:r>
    </w:p>
    <w:p w14:paraId="25EA00B1">
      <w:pPr>
        <w:pStyle w:val="2"/>
        <w:bidi w:val="0"/>
        <w:rPr>
          <w:rFonts w:hint="eastAsia" w:ascii="仿宋" w:hAnsi="仿宋" w:eastAsia="仿宋" w:cs="仿宋"/>
          <w:sz w:val="32"/>
          <w:szCs w:val="32"/>
        </w:rPr>
      </w:pPr>
      <w:r>
        <w:rPr>
          <w:rFonts w:hint="eastAsia" w:ascii="仿宋" w:hAnsi="仿宋" w:eastAsia="仿宋" w:cs="仿宋"/>
          <w:sz w:val="32"/>
          <w:szCs w:val="32"/>
        </w:rPr>
        <w:t>服务费用</w:t>
      </w:r>
    </w:p>
    <w:p w14:paraId="741820BC">
      <w:pPr>
        <w:bidi w:val="0"/>
        <w:rPr>
          <w:rFonts w:hint="eastAsia" w:ascii="仿宋" w:hAnsi="仿宋" w:eastAsia="仿宋" w:cs="仿宋"/>
          <w:sz w:val="32"/>
          <w:szCs w:val="32"/>
          <w:lang w:eastAsia="zh-CN"/>
        </w:rPr>
      </w:pPr>
      <w:r>
        <w:rPr>
          <w:rFonts w:hint="eastAsia" w:ascii="仿宋" w:hAnsi="仿宋" w:eastAsia="仿宋" w:cs="仿宋"/>
          <w:sz w:val="32"/>
          <w:szCs w:val="32"/>
        </w:rPr>
        <w:t>服务费</w:t>
      </w:r>
      <w:r>
        <w:rPr>
          <w:rFonts w:hint="eastAsia" w:ascii="仿宋" w:hAnsi="仿宋" w:eastAsia="仿宋" w:cs="仿宋"/>
          <w:sz w:val="32"/>
          <w:szCs w:val="32"/>
          <w:lang w:eastAsia="zh-CN"/>
        </w:rPr>
        <w:t>预算</w:t>
      </w:r>
      <w:r>
        <w:rPr>
          <w:rFonts w:hint="eastAsia" w:ascii="仿宋" w:hAnsi="仿宋" w:eastAsia="仿宋" w:cs="仿宋"/>
          <w:sz w:val="32"/>
          <w:szCs w:val="32"/>
        </w:rPr>
        <w:t>100000元/年。</w:t>
      </w:r>
      <w:r>
        <w:rPr>
          <w:rFonts w:hint="eastAsia" w:ascii="仿宋" w:hAnsi="仿宋" w:eastAsia="仿宋" w:cs="仿宋"/>
          <w:sz w:val="32"/>
          <w:szCs w:val="32"/>
          <w:lang w:eastAsia="zh-CN"/>
        </w:rPr>
        <w:t>（省卫</w:t>
      </w:r>
      <w:bookmarkStart w:id="2" w:name="_GoBack"/>
      <w:bookmarkEnd w:id="2"/>
      <w:r>
        <w:rPr>
          <w:rFonts w:hint="eastAsia" w:ascii="仿宋" w:hAnsi="仿宋" w:eastAsia="仿宋" w:cs="仿宋"/>
          <w:sz w:val="32"/>
          <w:szCs w:val="32"/>
          <w:lang w:eastAsia="zh-CN"/>
        </w:rPr>
        <w:t>健委指导价）</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imSong">
    <w:altName w:val="宋体"/>
    <w:panose1 w:val="02020300000000000000"/>
    <w:charset w:val="86"/>
    <w:family w:val="auto"/>
    <w:pitch w:val="default"/>
    <w:sig w:usb0="00000000" w:usb1="00000000" w:usb2="00000016" w:usb3="00000000" w:csb0="0004000D" w:csb1="00000000"/>
  </w:font>
  <w:font w:name="DejaVu Sans">
    <w:altName w:val="Times New Roman"/>
    <w:panose1 w:val="02020603050405020304"/>
    <w:charset w:val="00"/>
    <w:family w:val="roman"/>
    <w:pitch w:val="default"/>
    <w:sig w:usb0="00000000" w:usb1="00000000" w:usb2="00000008" w:usb3="00000000" w:csb0="000001FF" w:csb1="00000000"/>
  </w:font>
  <w:font w:name="方正黑体_GBK">
    <w:altName w:val="微软雅黑"/>
    <w:panose1 w:val="02000000000000000000"/>
    <w:charset w:val="00"/>
    <w:family w:val="auto"/>
    <w:pitch w:val="default"/>
    <w:sig w:usb0="00000000" w:usb1="00000000" w:usb2="00000000" w:usb3="00000000" w:csb0="00040000" w:csb1="00000000"/>
  </w:font>
  <w:font w:name="Adobe 仿宋 Std R">
    <w:altName w:val="仿宋"/>
    <w:panose1 w:val="00000000000000000000"/>
    <w:charset w:val="00"/>
    <w:family w:val="roman"/>
    <w:pitch w:val="default"/>
    <w:sig w:usb0="00000000" w:usb1="00000000" w:usb2="00000016" w:usb3="00000000" w:csb0="00060007" w:csb1="00000000"/>
  </w:font>
  <w:font w:name="SimSong Regular">
    <w:altName w:val="宋体"/>
    <w:panose1 w:val="02020300000000000000"/>
    <w:charset w:val="86"/>
    <w:family w:val="auto"/>
    <w:pitch w:val="default"/>
    <w:sig w:usb0="00000000" w:usb1="00000000" w:usb2="00000016" w:usb3="00000000" w:csb0="0004000D"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3B7E6D"/>
    <w:multiLevelType w:val="singleLevel"/>
    <w:tmpl w:val="EE3B7E6D"/>
    <w:lvl w:ilvl="0" w:tentative="0">
      <w:start w:val="1"/>
      <w:numFmt w:val="decimal"/>
      <w:lvlText w:val="(%1)"/>
      <w:lvlJc w:val="left"/>
      <w:pPr>
        <w:ind w:left="425" w:hanging="425"/>
      </w:pPr>
      <w:rPr>
        <w:rFonts w:hint="default"/>
      </w:rPr>
    </w:lvl>
  </w:abstractNum>
  <w:abstractNum w:abstractNumId="1">
    <w:nsid w:val="F7EC7C58"/>
    <w:multiLevelType w:val="singleLevel"/>
    <w:tmpl w:val="F7EC7C58"/>
    <w:lvl w:ilvl="0" w:tentative="0">
      <w:start w:val="1"/>
      <w:numFmt w:val="decimal"/>
      <w:suff w:val="nothing"/>
      <w:lvlText w:val="%1．"/>
      <w:lvlJc w:val="left"/>
      <w:pPr>
        <w:ind w:left="0" w:firstLine="400"/>
      </w:pPr>
      <w:rPr>
        <w:rFonts w:hint="default"/>
      </w:rPr>
    </w:lvl>
  </w:abstractNum>
  <w:abstractNum w:abstractNumId="2">
    <w:nsid w:val="61A45FF4"/>
    <w:multiLevelType w:val="singleLevel"/>
    <w:tmpl w:val="61A45FF4"/>
    <w:lvl w:ilvl="0" w:tentative="0">
      <w:start w:val="1"/>
      <w:numFmt w:val="decimal"/>
      <w:suff w:val="nothing"/>
      <w:lvlText w:val="%1．"/>
      <w:lvlJc w:val="left"/>
      <w:pPr>
        <w:ind w:left="0" w:firstLine="400"/>
      </w:pPr>
      <w:rPr>
        <w:rFonts w:hint="default"/>
      </w:rPr>
    </w:lvl>
  </w:abstractNum>
  <w:abstractNum w:abstractNumId="3">
    <w:nsid w:val="61A46015"/>
    <w:multiLevelType w:val="singleLevel"/>
    <w:tmpl w:val="61A46015"/>
    <w:lvl w:ilvl="0" w:tentative="0">
      <w:start w:val="1"/>
      <w:numFmt w:val="decimal"/>
      <w:suff w:val="nothing"/>
      <w:lvlText w:val="%1．"/>
      <w:lvlJc w:val="left"/>
      <w:pPr>
        <w:ind w:left="0" w:firstLine="400"/>
      </w:pPr>
      <w:rPr>
        <w:rFonts w:hint="default"/>
      </w:rPr>
    </w:lvl>
  </w:abstractNum>
  <w:abstractNum w:abstractNumId="4">
    <w:nsid w:val="61C2CB61"/>
    <w:multiLevelType w:val="singleLevel"/>
    <w:tmpl w:val="61C2CB61"/>
    <w:lvl w:ilvl="0" w:tentative="0">
      <w:start w:val="1"/>
      <w:numFmt w:val="decimal"/>
      <w:suff w:val="nothing"/>
      <w:lvlText w:val="%1．"/>
      <w:lvlJc w:val="left"/>
      <w:pPr>
        <w:ind w:left="0" w:firstLine="400"/>
      </w:pPr>
      <w:rPr>
        <w:rFonts w:hint="default"/>
      </w:rPr>
    </w:lvl>
  </w:abstractNum>
  <w:abstractNum w:abstractNumId="5">
    <w:nsid w:val="61CAC39C"/>
    <w:multiLevelType w:val="singleLevel"/>
    <w:tmpl w:val="61CAC39C"/>
    <w:lvl w:ilvl="0" w:tentative="0">
      <w:start w:val="1"/>
      <w:numFmt w:val="decimal"/>
      <w:suff w:val="nothing"/>
      <w:lvlText w:val="%1．"/>
      <w:lvlJc w:val="left"/>
      <w:pPr>
        <w:ind w:left="0" w:firstLine="400"/>
      </w:pPr>
      <w:rPr>
        <w:rFonts w:hint="default"/>
      </w:rPr>
    </w:lvl>
  </w:abstractNum>
  <w:abstractNum w:abstractNumId="6">
    <w:nsid w:val="6310358F"/>
    <w:multiLevelType w:val="multilevel"/>
    <w:tmpl w:val="6310358F"/>
    <w:lvl w:ilvl="0" w:tentative="0">
      <w:start w:val="1"/>
      <w:numFmt w:val="decimal"/>
      <w:pStyle w:val="2"/>
      <w:lvlText w:val="%1."/>
      <w:lvlJc w:val="left"/>
      <w:pPr>
        <w:ind w:left="432" w:leftChars="0" w:hanging="432" w:firstLineChars="0"/>
      </w:pPr>
      <w:rPr>
        <w:rFonts w:hint="default"/>
      </w:rPr>
    </w:lvl>
    <w:lvl w:ilvl="1" w:tentative="0">
      <w:start w:val="1"/>
      <w:numFmt w:val="decimal"/>
      <w:pStyle w:val="3"/>
      <w:lvlText w:val="%1.%2."/>
      <w:lvlJc w:val="left"/>
      <w:pPr>
        <w:ind w:left="575" w:leftChars="0" w:hanging="575" w:firstLineChars="0"/>
      </w:pPr>
      <w:rPr>
        <w:rFonts w:hint="default"/>
      </w:rPr>
    </w:lvl>
    <w:lvl w:ilvl="2" w:tentative="0">
      <w:start w:val="1"/>
      <w:numFmt w:val="decimal"/>
      <w:pStyle w:val="4"/>
      <w:lvlText w:val="%1.%2.%3."/>
      <w:lvlJc w:val="left"/>
      <w:pPr>
        <w:ind w:left="720" w:leftChars="0" w:hanging="720" w:firstLineChars="0"/>
      </w:pPr>
      <w:rPr>
        <w:rFonts w:hint="default"/>
      </w:rPr>
    </w:lvl>
    <w:lvl w:ilvl="3" w:tentative="0">
      <w:start w:val="1"/>
      <w:numFmt w:val="decimal"/>
      <w:pStyle w:val="5"/>
      <w:lvlText w:val="%1.%2.%3.%4."/>
      <w:lvlJc w:val="left"/>
      <w:pPr>
        <w:ind w:left="864" w:leftChars="0" w:hanging="864" w:firstLineChars="0"/>
      </w:pPr>
      <w:rPr>
        <w:rFonts w:hint="default"/>
      </w:rPr>
    </w:lvl>
    <w:lvl w:ilvl="4" w:tentative="0">
      <w:start w:val="1"/>
      <w:numFmt w:val="decimal"/>
      <w:pStyle w:val="6"/>
      <w:lvlText w:val="%1.%2.%3.%4.%5."/>
      <w:lvlJc w:val="left"/>
      <w:pPr>
        <w:ind w:left="1008" w:leftChars="0" w:hanging="1008" w:firstLineChars="0"/>
      </w:pPr>
      <w:rPr>
        <w:rFonts w:hint="default"/>
      </w:rPr>
    </w:lvl>
    <w:lvl w:ilvl="5" w:tentative="0">
      <w:start w:val="1"/>
      <w:numFmt w:val="decimal"/>
      <w:pStyle w:val="7"/>
      <w:lvlText w:val="%1.%2.%3.%4.%5.%6."/>
      <w:lvlJc w:val="left"/>
      <w:pPr>
        <w:ind w:left="1151" w:leftChars="0" w:hanging="1151" w:firstLineChars="0"/>
      </w:pPr>
      <w:rPr>
        <w:rFonts w:hint="default"/>
      </w:rPr>
    </w:lvl>
    <w:lvl w:ilvl="6" w:tentative="0">
      <w:start w:val="1"/>
      <w:numFmt w:val="decimal"/>
      <w:pStyle w:val="8"/>
      <w:lvlText w:val="%1.%2.%3.%4.%5.%6.%7."/>
      <w:lvlJc w:val="left"/>
      <w:pPr>
        <w:ind w:left="1296" w:leftChars="0" w:hanging="1296" w:firstLineChars="0"/>
      </w:pPr>
      <w:rPr>
        <w:rFonts w:hint="default"/>
      </w:rPr>
    </w:lvl>
    <w:lvl w:ilvl="7" w:tentative="0">
      <w:start w:val="1"/>
      <w:numFmt w:val="decimal"/>
      <w:pStyle w:val="9"/>
      <w:lvlText w:val="%1.%2.%3.%4.%5.%6.%7.%8."/>
      <w:lvlJc w:val="left"/>
      <w:pPr>
        <w:ind w:left="1440" w:leftChars="0" w:hanging="1440" w:firstLineChars="0"/>
      </w:pPr>
      <w:rPr>
        <w:rFonts w:hint="default"/>
      </w:rPr>
    </w:lvl>
    <w:lvl w:ilvl="8" w:tentative="0">
      <w:start w:val="1"/>
      <w:numFmt w:val="decimal"/>
      <w:pStyle w:val="10"/>
      <w:lvlText w:val="%1.%2.%3.%4.%5.%6.%7.%8.%9."/>
      <w:lvlJc w:val="left"/>
      <w:pPr>
        <w:ind w:left="1583" w:leftChars="0" w:hanging="1583" w:firstLineChars="0"/>
      </w:pPr>
      <w:rPr>
        <w:rFonts w:hint="default"/>
      </w:rPr>
    </w:lvl>
  </w:abstractNum>
  <w:abstractNum w:abstractNumId="7">
    <w:nsid w:val="631062D2"/>
    <w:multiLevelType w:val="singleLevel"/>
    <w:tmpl w:val="631062D2"/>
    <w:lvl w:ilvl="0" w:tentative="0">
      <w:start w:val="1"/>
      <w:numFmt w:val="decimal"/>
      <w:suff w:val="nothing"/>
      <w:lvlText w:val="%1．"/>
      <w:lvlJc w:val="left"/>
      <w:pPr>
        <w:ind w:left="0" w:leftChars="0" w:firstLine="400" w:firstLineChars="0"/>
      </w:pPr>
      <w:rPr>
        <w:rFonts w:hint="default"/>
      </w:rPr>
    </w:lvl>
  </w:abstractNum>
  <w:num w:numId="1">
    <w:abstractNumId w:val="6"/>
  </w:num>
  <w:num w:numId="2">
    <w:abstractNumId w:val="1"/>
  </w:num>
  <w:num w:numId="3">
    <w:abstractNumId w:val="2"/>
  </w:num>
  <w:num w:numId="4">
    <w:abstractNumId w:val="3"/>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NTY2ZTUwZDFiNGIwMTQyY2QwNjkxYTlmY2E0NzYifQ=="/>
  </w:docVars>
  <w:rsids>
    <w:rsidRoot w:val="7BEF7A57"/>
    <w:rsid w:val="0007198C"/>
    <w:rsid w:val="007841F3"/>
    <w:rsid w:val="00A42089"/>
    <w:rsid w:val="00B074DA"/>
    <w:rsid w:val="01B03DF6"/>
    <w:rsid w:val="0E3F0579"/>
    <w:rsid w:val="113F4A6C"/>
    <w:rsid w:val="14C63A0B"/>
    <w:rsid w:val="159D2105"/>
    <w:rsid w:val="1BB34C01"/>
    <w:rsid w:val="24CF1E1C"/>
    <w:rsid w:val="2AB62394"/>
    <w:rsid w:val="2C2C11A9"/>
    <w:rsid w:val="2EAFD75D"/>
    <w:rsid w:val="379E0413"/>
    <w:rsid w:val="3BCD1A83"/>
    <w:rsid w:val="3E4473CB"/>
    <w:rsid w:val="3FE30222"/>
    <w:rsid w:val="41DB4410"/>
    <w:rsid w:val="4D267823"/>
    <w:rsid w:val="4FEFA627"/>
    <w:rsid w:val="53CA8ED9"/>
    <w:rsid w:val="553B5873"/>
    <w:rsid w:val="57943245"/>
    <w:rsid w:val="5CFFD749"/>
    <w:rsid w:val="5E83409D"/>
    <w:rsid w:val="611136AF"/>
    <w:rsid w:val="63A948B2"/>
    <w:rsid w:val="65AE0E72"/>
    <w:rsid w:val="67A7735B"/>
    <w:rsid w:val="67F933A2"/>
    <w:rsid w:val="6E783ACE"/>
    <w:rsid w:val="6FB7CFE3"/>
    <w:rsid w:val="7265662C"/>
    <w:rsid w:val="75BF5B3E"/>
    <w:rsid w:val="796FD811"/>
    <w:rsid w:val="7BEF7A57"/>
    <w:rsid w:val="7D3224B5"/>
    <w:rsid w:val="7E0405CD"/>
    <w:rsid w:val="B9BD26D6"/>
    <w:rsid w:val="BBB916E3"/>
    <w:rsid w:val="BDD5F337"/>
    <w:rsid w:val="DD763E05"/>
    <w:rsid w:val="DDDD305A"/>
    <w:rsid w:val="FB7DF111"/>
    <w:rsid w:val="FFBF4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1" w:firstLineChars="200"/>
      <w:jc w:val="both"/>
    </w:pPr>
    <w:rPr>
      <w:rFonts w:eastAsia="SimSong" w:asciiTheme="minorHAnsi" w:hAnsiTheme="minorHAnsi" w:cstheme="minorBidi"/>
      <w:kern w:val="2"/>
      <w:sz w:val="24"/>
      <w:szCs w:val="24"/>
      <w:lang w:val="en-US" w:eastAsia="zh-CN" w:bidi="ar-SA"/>
    </w:rPr>
  </w:style>
  <w:style w:type="paragraph" w:styleId="2">
    <w:name w:val="heading 1"/>
    <w:basedOn w:val="1"/>
    <w:next w:val="1"/>
    <w:qFormat/>
    <w:uiPriority w:val="0"/>
    <w:pPr>
      <w:keepNext/>
      <w:keepLines/>
      <w:numPr>
        <w:ilvl w:val="0"/>
        <w:numId w:val="1"/>
      </w:numPr>
      <w:spacing w:before="340" w:after="330" w:line="576" w:lineRule="auto"/>
      <w:ind w:hanging="432"/>
      <w:outlineLvl w:val="0"/>
    </w:pPr>
    <w:rPr>
      <w:rFonts w:asciiTheme="minorAscii" w:hAnsiTheme="minorAscii"/>
      <w:b/>
      <w:kern w:val="44"/>
      <w:sz w:val="44"/>
    </w:rPr>
  </w:style>
  <w:style w:type="paragraph" w:styleId="3">
    <w:name w:val="heading 2"/>
    <w:basedOn w:val="1"/>
    <w:next w:val="1"/>
    <w:unhideWhenUsed/>
    <w:qFormat/>
    <w:uiPriority w:val="0"/>
    <w:pPr>
      <w:keepNext/>
      <w:keepLines/>
      <w:numPr>
        <w:ilvl w:val="1"/>
        <w:numId w:val="1"/>
      </w:numPr>
      <w:spacing w:before="260" w:after="260" w:line="413" w:lineRule="auto"/>
      <w:ind w:hanging="575" w:firstLineChars="0"/>
      <w:outlineLvl w:val="1"/>
    </w:pPr>
    <w:rPr>
      <w:rFonts w:ascii="DejaVu Sans" w:hAnsi="DejaVu Sans"/>
      <w:b/>
      <w:sz w:val="36"/>
    </w:rPr>
  </w:style>
  <w:style w:type="paragraph" w:styleId="4">
    <w:name w:val="heading 3"/>
    <w:basedOn w:val="1"/>
    <w:next w:val="1"/>
    <w:unhideWhenUsed/>
    <w:qFormat/>
    <w:uiPriority w:val="0"/>
    <w:pPr>
      <w:keepNext/>
      <w:keepLines/>
      <w:numPr>
        <w:ilvl w:val="2"/>
        <w:numId w:val="1"/>
      </w:numPr>
      <w:spacing w:before="260" w:after="260" w:line="413" w:lineRule="auto"/>
      <w:ind w:hanging="720" w:firstLineChars="0"/>
      <w:outlineLvl w:val="2"/>
    </w:pPr>
    <w:rPr>
      <w:b/>
      <w:sz w:val="32"/>
    </w:rPr>
  </w:style>
  <w:style w:type="paragraph" w:styleId="5">
    <w:name w:val="heading 4"/>
    <w:basedOn w:val="1"/>
    <w:next w:val="1"/>
    <w:unhideWhenUsed/>
    <w:qFormat/>
    <w:uiPriority w:val="0"/>
    <w:pPr>
      <w:keepNext/>
      <w:keepLines/>
      <w:numPr>
        <w:ilvl w:val="3"/>
        <w:numId w:val="1"/>
      </w:numPr>
      <w:spacing w:before="280" w:after="290" w:line="372" w:lineRule="auto"/>
      <w:ind w:hanging="864" w:firstLineChars="0"/>
      <w:outlineLvl w:val="3"/>
    </w:pPr>
    <w:rPr>
      <w:rFonts w:ascii="DejaVu Sans" w:hAnsi="DejaVu Sans"/>
      <w:b/>
      <w:sz w:val="30"/>
    </w:rPr>
  </w:style>
  <w:style w:type="paragraph" w:styleId="6">
    <w:name w:val="heading 5"/>
    <w:basedOn w:val="1"/>
    <w:next w:val="1"/>
    <w:unhideWhenUsed/>
    <w:qFormat/>
    <w:uiPriority w:val="0"/>
    <w:pPr>
      <w:keepNext/>
      <w:keepLines/>
      <w:numPr>
        <w:ilvl w:val="4"/>
        <w:numId w:val="1"/>
      </w:numPr>
      <w:spacing w:before="280" w:after="290" w:line="372" w:lineRule="auto"/>
      <w:ind w:hanging="1008" w:firstLineChars="0"/>
      <w:outlineLvl w:val="4"/>
    </w:pPr>
    <w:rPr>
      <w:b/>
      <w:sz w:val="28"/>
    </w:rPr>
  </w:style>
  <w:style w:type="paragraph" w:styleId="7">
    <w:name w:val="heading 6"/>
    <w:basedOn w:val="1"/>
    <w:next w:val="1"/>
    <w:unhideWhenUsed/>
    <w:qFormat/>
    <w:uiPriority w:val="0"/>
    <w:pPr>
      <w:keepNext/>
      <w:keepLines/>
      <w:numPr>
        <w:ilvl w:val="5"/>
        <w:numId w:val="1"/>
      </w:numPr>
      <w:spacing w:before="240" w:after="64" w:line="317" w:lineRule="auto"/>
      <w:ind w:hanging="1151" w:firstLineChars="0"/>
      <w:outlineLvl w:val="5"/>
    </w:pPr>
    <w:rPr>
      <w:rFonts w:ascii="DejaVu Sans" w:hAnsi="DejaVu Sans" w:eastAsia="方正黑体_GBK"/>
      <w:b/>
    </w:rPr>
  </w:style>
  <w:style w:type="paragraph" w:styleId="8">
    <w:name w:val="heading 7"/>
    <w:basedOn w:val="1"/>
    <w:next w:val="1"/>
    <w:unhideWhenUsed/>
    <w:qFormat/>
    <w:uiPriority w:val="0"/>
    <w:pPr>
      <w:keepNext/>
      <w:keepLines/>
      <w:numPr>
        <w:ilvl w:val="6"/>
        <w:numId w:val="1"/>
      </w:numPr>
      <w:spacing w:before="240" w:after="64" w:line="317" w:lineRule="auto"/>
      <w:ind w:hanging="1296" w:firstLineChars="0"/>
      <w:outlineLvl w:val="6"/>
    </w:pPr>
    <w:rPr>
      <w:b/>
    </w:rPr>
  </w:style>
  <w:style w:type="paragraph" w:styleId="9">
    <w:name w:val="heading 8"/>
    <w:basedOn w:val="1"/>
    <w:next w:val="1"/>
    <w:unhideWhenUsed/>
    <w:qFormat/>
    <w:uiPriority w:val="0"/>
    <w:pPr>
      <w:keepNext/>
      <w:keepLines/>
      <w:numPr>
        <w:ilvl w:val="7"/>
        <w:numId w:val="1"/>
      </w:numPr>
      <w:spacing w:before="240" w:after="64" w:line="317" w:lineRule="auto"/>
      <w:ind w:hanging="1440" w:firstLineChars="0"/>
      <w:outlineLvl w:val="7"/>
    </w:pPr>
    <w:rPr>
      <w:rFonts w:ascii="DejaVu Sans" w:hAnsi="DejaVu Sans" w:eastAsia="方正黑体_GBK"/>
    </w:rPr>
  </w:style>
  <w:style w:type="paragraph" w:styleId="10">
    <w:name w:val="heading 9"/>
    <w:basedOn w:val="1"/>
    <w:next w:val="1"/>
    <w:unhideWhenUsed/>
    <w:qFormat/>
    <w:uiPriority w:val="0"/>
    <w:pPr>
      <w:keepNext/>
      <w:keepLines/>
      <w:numPr>
        <w:ilvl w:val="8"/>
        <w:numId w:val="1"/>
      </w:numPr>
      <w:spacing w:before="240" w:after="64" w:line="317" w:lineRule="auto"/>
      <w:ind w:hanging="1583" w:firstLineChars="0"/>
      <w:outlineLvl w:val="8"/>
    </w:pPr>
    <w:rPr>
      <w:rFonts w:ascii="DejaVu Sans" w:hAnsi="DejaVu Sans" w:eastAsia="方正黑体_GBK"/>
      <w:sz w:val="21"/>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11">
    <w:name w:val="Normal Indent"/>
    <w:basedOn w:val="1"/>
    <w:qFormat/>
    <w:uiPriority w:val="0"/>
    <w:pPr>
      <w:ind w:firstLine="420"/>
    </w:pPr>
    <w:rPr>
      <w:kern w:val="0"/>
      <w:sz w:val="20"/>
      <w:szCs w:val="20"/>
    </w:rPr>
  </w:style>
  <w:style w:type="paragraph" w:styleId="12">
    <w:name w:val="Body Text"/>
    <w:basedOn w:val="1"/>
    <w:qFormat/>
    <w:uiPriority w:val="0"/>
    <w:pPr>
      <w:spacing w:after="120"/>
    </w:pPr>
  </w:style>
  <w:style w:type="paragraph" w:styleId="13">
    <w:name w:val="Body Text Indent"/>
    <w:basedOn w:val="1"/>
    <w:qFormat/>
    <w:uiPriority w:val="0"/>
    <w:pPr>
      <w:spacing w:after="120"/>
      <w:ind w:left="420" w:leftChars="200"/>
    </w:pPr>
  </w:style>
  <w:style w:type="paragraph" w:styleId="14">
    <w:name w:val="index 4"/>
    <w:basedOn w:val="1"/>
    <w:next w:val="1"/>
    <w:qFormat/>
    <w:uiPriority w:val="0"/>
    <w:pPr>
      <w:ind w:left="600" w:leftChars="600"/>
    </w:pPr>
  </w:style>
  <w:style w:type="paragraph" w:styleId="15">
    <w:name w:val="Balloon Text"/>
    <w:basedOn w:val="1"/>
    <w:link w:val="23"/>
    <w:qFormat/>
    <w:uiPriority w:val="0"/>
    <w:pPr>
      <w:spacing w:line="240" w:lineRule="auto"/>
    </w:pPr>
    <w:rPr>
      <w:sz w:val="18"/>
      <w:szCs w:val="18"/>
    </w:rPr>
  </w:style>
  <w:style w:type="paragraph" w:styleId="16">
    <w:name w:val="toc 1"/>
    <w:basedOn w:val="1"/>
    <w:next w:val="1"/>
    <w:qFormat/>
    <w:uiPriority w:val="0"/>
    <w:pPr>
      <w:tabs>
        <w:tab w:val="left" w:pos="0"/>
      </w:tabs>
    </w:pPr>
  </w:style>
  <w:style w:type="paragraph" w:styleId="17">
    <w:name w:val="Body Text First Indent 2"/>
    <w:basedOn w:val="13"/>
    <w:qFormat/>
    <w:uiPriority w:val="0"/>
    <w:pPr>
      <w:ind w:firstLine="420"/>
    </w:pPr>
  </w:style>
  <w:style w:type="paragraph" w:customStyle="1" w:styleId="20">
    <w:name w:val="正文1"/>
    <w:next w:val="1"/>
    <w:qFormat/>
    <w:uiPriority w:val="0"/>
    <w:pPr>
      <w:adjustRightInd w:val="0"/>
      <w:spacing w:before="120" w:after="120" w:line="180" w:lineRule="auto"/>
      <w:ind w:firstLine="200" w:firstLineChars="200"/>
      <w:contextualSpacing/>
    </w:pPr>
    <w:rPr>
      <w:rFonts w:eastAsia="Adobe 仿宋 Std R" w:asciiTheme="minorHAnsi" w:hAnsiTheme="minorHAnsi" w:cstheme="minorBidi"/>
      <w:kern w:val="2"/>
      <w:sz w:val="21"/>
      <w:szCs w:val="21"/>
      <w:lang w:val="en-US" w:eastAsia="zh-CN" w:bidi="ar-SA"/>
    </w:rPr>
  </w:style>
  <w:style w:type="paragraph" w:customStyle="1" w:styleId="21">
    <w:name w:val="列出段落1"/>
    <w:basedOn w:val="1"/>
    <w:qFormat/>
    <w:uiPriority w:val="34"/>
    <w:pPr>
      <w:ind w:firstLine="420"/>
    </w:pPr>
  </w:style>
  <w:style w:type="paragraph" w:customStyle="1" w:styleId="22">
    <w:name w:val="Body text|1"/>
    <w:basedOn w:val="1"/>
    <w:qFormat/>
    <w:uiPriority w:val="0"/>
    <w:pPr>
      <w:spacing w:line="420" w:lineRule="auto"/>
      <w:ind w:firstLine="400"/>
    </w:pPr>
    <w:rPr>
      <w:rFonts w:ascii="宋体" w:hAnsi="宋体" w:cs="宋体"/>
      <w:sz w:val="22"/>
      <w:szCs w:val="22"/>
      <w:lang w:val="zh-TW" w:eastAsia="zh-TW" w:bidi="zh-TW"/>
    </w:rPr>
  </w:style>
  <w:style w:type="character" w:customStyle="1" w:styleId="23">
    <w:name w:val="批注框文本 Char"/>
    <w:basedOn w:val="19"/>
    <w:link w:val="15"/>
    <w:qFormat/>
    <w:uiPriority w:val="0"/>
    <w:rPr>
      <w:rFonts w:eastAsia="SimSong"/>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11</Pages>
  <Words>4203</Words>
  <Characters>4284</Characters>
  <Lines>22</Lines>
  <Paragraphs>6</Paragraphs>
  <TotalTime>0</TotalTime>
  <ScaleCrop>false</ScaleCrop>
  <LinksUpToDate>false</LinksUpToDate>
  <CharactersWithSpaces>4285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2022-04-25T09:10:00Z</dcterms:created>
  <dc:creator>yt</dc:creator>
  <cp:lastModifiedBy>施吉利</cp:lastModifiedBy>
  <dcterms:modified xsi:type="dcterms:W3CDTF">2024-10-17T06:07:55Z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081F8CF225F04222A7D082F22B124F07_13</vt:lpwstr>
  </property>
</Properties>
</file>