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E44DB39">
      <w:pPr>
        <w:jc w:val="center"/>
        <w:rPr>
          <w:rFonts w:ascii="宋体" w:hAnsi="宋体"/>
          <w:b/>
          <w:sz w:val="40"/>
          <w:szCs w:val="40"/>
          <w:lang w:val="zh-CN"/>
        </w:rPr>
      </w:pPr>
      <w:r>
        <w:rPr>
          <w:rFonts w:hint="eastAsia" w:ascii="宋体" w:hAnsi="宋体"/>
          <w:b/>
          <w:sz w:val="40"/>
          <w:szCs w:val="40"/>
          <w:lang w:val="zh-CN"/>
        </w:rPr>
        <w:t>江苏省第二中医院等保测评及安全服务项目</w:t>
      </w:r>
    </w:p>
    <w:p w14:paraId="4433DA9F">
      <w:pPr>
        <w:jc w:val="center"/>
        <w:rPr>
          <w:rFonts w:ascii="宋体" w:hAnsi="宋体"/>
          <w:color w:val="000000"/>
          <w:sz w:val="44"/>
          <w:szCs w:val="44"/>
          <w:lang w:val="zh-CN"/>
        </w:rPr>
      </w:pPr>
      <w:r>
        <w:rPr>
          <w:rFonts w:hint="eastAsia" w:ascii="宋体" w:hAnsi="宋体"/>
          <w:b/>
          <w:sz w:val="44"/>
          <w:szCs w:val="44"/>
          <w:lang w:val="zh-CN"/>
        </w:rPr>
        <w:t>调研内容</w:t>
      </w:r>
    </w:p>
    <w:p w14:paraId="35CDD6D5">
      <w:pPr>
        <w:autoSpaceDE w:val="0"/>
        <w:autoSpaceDN w:val="0"/>
        <w:adjustRightInd w:val="0"/>
        <w:jc w:val="left"/>
        <w:rPr>
          <w:rFonts w:ascii="宋体" w:hAnsi="宋体"/>
          <w:color w:val="000000"/>
          <w:sz w:val="32"/>
          <w:szCs w:val="32"/>
          <w:lang w:val="zh-CN"/>
        </w:rPr>
      </w:pPr>
    </w:p>
    <w:p w14:paraId="1BE67A8F">
      <w:pPr>
        <w:autoSpaceDE w:val="0"/>
        <w:autoSpaceDN w:val="0"/>
        <w:adjustRightInd w:val="0"/>
        <w:jc w:val="left"/>
        <w:rPr>
          <w:rFonts w:ascii="宋体" w:hAnsi="宋体"/>
          <w:color w:val="000000"/>
          <w:sz w:val="32"/>
          <w:szCs w:val="32"/>
          <w:lang w:val="zh-CN"/>
        </w:rPr>
      </w:pPr>
    </w:p>
    <w:p w14:paraId="22AE1E0B">
      <w:pPr>
        <w:spacing w:line="480" w:lineRule="auto"/>
        <w:rPr>
          <w:rFonts w:ascii="宋体" w:hAnsi="宋体"/>
          <w:sz w:val="32"/>
          <w:szCs w:val="32"/>
        </w:rPr>
      </w:pPr>
    </w:p>
    <w:p w14:paraId="651AF6FF">
      <w:pPr>
        <w:tabs>
          <w:tab w:val="left" w:pos="4500"/>
        </w:tabs>
        <w:autoSpaceDE w:val="0"/>
        <w:autoSpaceDN w:val="0"/>
        <w:adjustRightInd w:val="0"/>
        <w:jc w:val="center"/>
        <w:rPr>
          <w:rFonts w:ascii="宋体" w:hAnsi="宋体"/>
          <w:color w:val="000000"/>
          <w:sz w:val="44"/>
          <w:szCs w:val="44"/>
          <w:lang w:val="zh-CN"/>
        </w:rPr>
      </w:pPr>
    </w:p>
    <w:p w14:paraId="50C29995">
      <w:pPr>
        <w:tabs>
          <w:tab w:val="left" w:pos="4500"/>
        </w:tabs>
        <w:autoSpaceDE w:val="0"/>
        <w:autoSpaceDN w:val="0"/>
        <w:adjustRightInd w:val="0"/>
        <w:jc w:val="center"/>
        <w:rPr>
          <w:rFonts w:ascii="宋体" w:hAnsi="宋体"/>
          <w:color w:val="000000"/>
          <w:sz w:val="44"/>
          <w:szCs w:val="44"/>
          <w:lang w:val="zh-CN"/>
        </w:rPr>
      </w:pPr>
    </w:p>
    <w:p w14:paraId="3400B337">
      <w:pPr>
        <w:tabs>
          <w:tab w:val="left" w:pos="4500"/>
        </w:tabs>
        <w:autoSpaceDE w:val="0"/>
        <w:autoSpaceDN w:val="0"/>
        <w:adjustRightInd w:val="0"/>
        <w:jc w:val="center"/>
        <w:rPr>
          <w:rFonts w:ascii="宋体" w:hAnsi="宋体"/>
          <w:color w:val="000000"/>
          <w:sz w:val="44"/>
          <w:szCs w:val="44"/>
          <w:lang w:val="zh-CN"/>
        </w:rPr>
      </w:pPr>
    </w:p>
    <w:p w14:paraId="7049A9C1">
      <w:pPr>
        <w:tabs>
          <w:tab w:val="left" w:pos="4500"/>
        </w:tabs>
        <w:autoSpaceDE w:val="0"/>
        <w:autoSpaceDN w:val="0"/>
        <w:adjustRightInd w:val="0"/>
        <w:spacing w:line="480" w:lineRule="auto"/>
        <w:rPr>
          <w:rFonts w:ascii="宋体" w:hAnsi="宋体"/>
          <w:color w:val="000000"/>
          <w:sz w:val="36"/>
          <w:szCs w:val="36"/>
          <w:lang w:val="zh-CN"/>
        </w:rPr>
      </w:pPr>
    </w:p>
    <w:p w14:paraId="79B80F6C">
      <w:pPr>
        <w:tabs>
          <w:tab w:val="left" w:pos="4500"/>
        </w:tabs>
        <w:autoSpaceDE w:val="0"/>
        <w:autoSpaceDN w:val="0"/>
        <w:adjustRightInd w:val="0"/>
        <w:spacing w:line="480" w:lineRule="auto"/>
        <w:rPr>
          <w:rFonts w:ascii="宋体" w:hAnsi="宋体"/>
          <w:color w:val="000000"/>
          <w:sz w:val="36"/>
          <w:szCs w:val="36"/>
          <w:lang w:val="zh-CN"/>
        </w:rPr>
      </w:pPr>
    </w:p>
    <w:p w14:paraId="60E2A982">
      <w:pPr>
        <w:tabs>
          <w:tab w:val="left" w:pos="4500"/>
        </w:tabs>
        <w:autoSpaceDE w:val="0"/>
        <w:autoSpaceDN w:val="0"/>
        <w:adjustRightInd w:val="0"/>
        <w:spacing w:line="480" w:lineRule="auto"/>
        <w:rPr>
          <w:rFonts w:ascii="宋体" w:hAnsi="宋体"/>
          <w:color w:val="000000"/>
          <w:sz w:val="36"/>
          <w:szCs w:val="36"/>
          <w:lang w:val="zh-CN"/>
        </w:rPr>
      </w:pPr>
    </w:p>
    <w:p w14:paraId="7F3D9093">
      <w:pPr>
        <w:tabs>
          <w:tab w:val="left" w:pos="4500"/>
        </w:tabs>
        <w:autoSpaceDE w:val="0"/>
        <w:autoSpaceDN w:val="0"/>
        <w:adjustRightInd w:val="0"/>
        <w:spacing w:line="480" w:lineRule="auto"/>
        <w:rPr>
          <w:rFonts w:ascii="宋体" w:hAnsi="宋体"/>
          <w:color w:val="000000"/>
          <w:sz w:val="36"/>
          <w:szCs w:val="36"/>
          <w:lang w:val="zh-CN"/>
        </w:rPr>
      </w:pPr>
    </w:p>
    <w:p w14:paraId="158A0E37">
      <w:pPr>
        <w:jc w:val="center"/>
        <w:rPr>
          <w:rFonts w:asciiTheme="minorEastAsia" w:hAnsiTheme="minorEastAsia" w:eastAsiaTheme="minorEastAsia"/>
          <w:sz w:val="44"/>
          <w:szCs w:val="44"/>
        </w:rPr>
      </w:pPr>
      <w:r>
        <w:rPr>
          <w:rFonts w:hint="eastAsia" w:asciiTheme="minorEastAsia" w:hAnsiTheme="minorEastAsia" w:eastAsiaTheme="minorEastAsia"/>
          <w:sz w:val="44"/>
          <w:szCs w:val="44"/>
        </w:rPr>
        <w:t>2025年1</w:t>
      </w:r>
      <w:r>
        <w:rPr>
          <w:rFonts w:hint="eastAsia" w:asciiTheme="minorEastAsia" w:hAnsiTheme="minorEastAsia" w:eastAsiaTheme="minorEastAsia"/>
          <w:sz w:val="44"/>
          <w:szCs w:val="44"/>
          <w:lang w:val="en-US" w:eastAsia="zh-CN"/>
        </w:rPr>
        <w:t>2</w:t>
      </w:r>
      <w:r>
        <w:rPr>
          <w:rFonts w:hint="eastAsia" w:asciiTheme="minorEastAsia" w:hAnsiTheme="minorEastAsia" w:eastAsiaTheme="minorEastAsia"/>
          <w:sz w:val="44"/>
          <w:szCs w:val="44"/>
        </w:rPr>
        <w:t>月</w:t>
      </w:r>
      <w:bookmarkStart w:id="1" w:name="_GoBack"/>
      <w:bookmarkEnd w:id="1"/>
    </w:p>
    <w:p w14:paraId="0BA094B3">
      <w:pPr>
        <w:rPr>
          <w:rFonts w:ascii="宋体" w:hAnsi="宋体" w:cs="仿宋_GB2312"/>
          <w:b/>
          <w:bCs/>
          <w:color w:val="000000"/>
          <w:sz w:val="28"/>
          <w:szCs w:val="28"/>
        </w:rPr>
      </w:pPr>
      <w:bookmarkStart w:id="0" w:name="_Toc465785687"/>
      <w:r>
        <w:rPr>
          <w:rFonts w:hint="eastAsia" w:ascii="宋体" w:hAnsi="宋体" w:cs="仿宋_GB2312"/>
          <w:b/>
          <w:bCs/>
          <w:color w:val="000000"/>
          <w:sz w:val="28"/>
          <w:szCs w:val="28"/>
        </w:rPr>
        <w:br w:type="page"/>
      </w:r>
    </w:p>
    <w:p w14:paraId="32282BA4">
      <w:pPr>
        <w:spacing w:line="560" w:lineRule="exact"/>
        <w:rPr>
          <w:rFonts w:ascii="宋体" w:hAnsi="宋体" w:cs="仿宋_GB2312"/>
          <w:b/>
          <w:bCs/>
          <w:color w:val="000000"/>
          <w:sz w:val="28"/>
          <w:szCs w:val="28"/>
        </w:rPr>
      </w:pPr>
      <w:r>
        <w:rPr>
          <w:rFonts w:hint="eastAsia" w:ascii="宋体" w:hAnsi="宋体" w:cs="仿宋_GB2312"/>
          <w:b/>
          <w:bCs/>
          <w:color w:val="000000"/>
          <w:sz w:val="28"/>
          <w:szCs w:val="28"/>
        </w:rPr>
        <w:t>一、产品清单</w:t>
      </w:r>
    </w:p>
    <w:tbl>
      <w:tblPr>
        <w:tblStyle w:val="6"/>
        <w:tblW w:w="7835"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846"/>
        <w:gridCol w:w="3969"/>
        <w:gridCol w:w="1353"/>
        <w:gridCol w:w="934"/>
        <w:gridCol w:w="733"/>
      </w:tblGrid>
      <w:tr w14:paraId="49309B0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46" w:type="dxa"/>
            <w:vAlign w:val="center"/>
          </w:tcPr>
          <w:p w14:paraId="1FD9A102">
            <w:pPr>
              <w:jc w:val="center"/>
              <w:rPr>
                <w:rFonts w:ascii="宋体" w:hAnsi="宋体" w:cs="仿宋"/>
                <w:color w:val="000000" w:themeColor="text1"/>
                <w:sz w:val="24"/>
                <w14:textFill>
                  <w14:solidFill>
                    <w14:schemeClr w14:val="tx1"/>
                  </w14:solidFill>
                </w14:textFill>
              </w:rPr>
            </w:pPr>
            <w:r>
              <w:rPr>
                <w:rFonts w:hint="eastAsia" w:ascii="宋体" w:hAnsi="宋体" w:cs="仿宋"/>
                <w:color w:val="000000" w:themeColor="text1"/>
                <w:sz w:val="24"/>
                <w14:textFill>
                  <w14:solidFill>
                    <w14:schemeClr w14:val="tx1"/>
                  </w14:solidFill>
                </w14:textFill>
              </w:rPr>
              <w:t>序号</w:t>
            </w:r>
          </w:p>
        </w:tc>
        <w:tc>
          <w:tcPr>
            <w:tcW w:w="3969" w:type="dxa"/>
            <w:vAlign w:val="center"/>
          </w:tcPr>
          <w:p w14:paraId="7B0281D8">
            <w:pPr>
              <w:jc w:val="center"/>
              <w:rPr>
                <w:rFonts w:ascii="宋体" w:hAnsi="宋体" w:cs="仿宋"/>
                <w:color w:val="000000" w:themeColor="text1"/>
                <w:sz w:val="24"/>
                <w14:textFill>
                  <w14:solidFill>
                    <w14:schemeClr w14:val="tx1"/>
                  </w14:solidFill>
                </w14:textFill>
              </w:rPr>
            </w:pPr>
            <w:r>
              <w:rPr>
                <w:rFonts w:hint="eastAsia" w:ascii="宋体" w:hAnsi="宋体" w:cs="仿宋"/>
                <w:color w:val="000000" w:themeColor="text1"/>
                <w:sz w:val="24"/>
                <w14:textFill>
                  <w14:solidFill>
                    <w14:schemeClr w14:val="tx1"/>
                  </w14:solidFill>
                </w14:textFill>
              </w:rPr>
              <w:t>产品</w:t>
            </w:r>
          </w:p>
        </w:tc>
        <w:tc>
          <w:tcPr>
            <w:tcW w:w="1353" w:type="dxa"/>
            <w:vAlign w:val="center"/>
          </w:tcPr>
          <w:p w14:paraId="2A3C3D8C">
            <w:pPr>
              <w:jc w:val="center"/>
              <w:rPr>
                <w:rFonts w:ascii="宋体" w:hAnsi="宋体" w:cs="仿宋"/>
                <w:color w:val="000000" w:themeColor="text1"/>
                <w:sz w:val="24"/>
                <w14:textFill>
                  <w14:solidFill>
                    <w14:schemeClr w14:val="tx1"/>
                  </w14:solidFill>
                </w14:textFill>
              </w:rPr>
            </w:pPr>
            <w:r>
              <w:rPr>
                <w:rFonts w:hint="eastAsia" w:ascii="宋体" w:hAnsi="宋体" w:cs="仿宋"/>
                <w:color w:val="000000" w:themeColor="text1"/>
                <w:sz w:val="24"/>
                <w14:textFill>
                  <w14:solidFill>
                    <w14:schemeClr w14:val="tx1"/>
                  </w14:solidFill>
                </w14:textFill>
              </w:rPr>
              <w:t>采购要求</w:t>
            </w:r>
          </w:p>
        </w:tc>
        <w:tc>
          <w:tcPr>
            <w:tcW w:w="934" w:type="dxa"/>
            <w:vAlign w:val="center"/>
          </w:tcPr>
          <w:p w14:paraId="6411E3EC">
            <w:pPr>
              <w:jc w:val="center"/>
              <w:rPr>
                <w:rFonts w:ascii="宋体" w:hAnsi="宋体" w:cs="仿宋"/>
                <w:color w:val="000000" w:themeColor="text1"/>
                <w:sz w:val="24"/>
                <w14:textFill>
                  <w14:solidFill>
                    <w14:schemeClr w14:val="tx1"/>
                  </w14:solidFill>
                </w14:textFill>
              </w:rPr>
            </w:pPr>
            <w:r>
              <w:rPr>
                <w:rFonts w:hint="eastAsia" w:ascii="宋体" w:hAnsi="宋体" w:cs="仿宋"/>
                <w:color w:val="000000" w:themeColor="text1"/>
                <w:sz w:val="24"/>
                <w14:textFill>
                  <w14:solidFill>
                    <w14:schemeClr w14:val="tx1"/>
                  </w14:solidFill>
                </w14:textFill>
              </w:rPr>
              <w:t>数量</w:t>
            </w:r>
          </w:p>
        </w:tc>
        <w:tc>
          <w:tcPr>
            <w:tcW w:w="733" w:type="dxa"/>
            <w:vAlign w:val="center"/>
          </w:tcPr>
          <w:p w14:paraId="1D61BA31">
            <w:pPr>
              <w:jc w:val="center"/>
              <w:rPr>
                <w:rFonts w:ascii="宋体" w:hAnsi="宋体" w:cs="仿宋"/>
                <w:color w:val="000000" w:themeColor="text1"/>
                <w:sz w:val="24"/>
                <w14:textFill>
                  <w14:solidFill>
                    <w14:schemeClr w14:val="tx1"/>
                  </w14:solidFill>
                </w14:textFill>
              </w:rPr>
            </w:pPr>
            <w:r>
              <w:rPr>
                <w:rFonts w:hint="eastAsia" w:ascii="宋体" w:hAnsi="宋体" w:cs="仿宋"/>
                <w:color w:val="000000" w:themeColor="text1"/>
                <w:sz w:val="24"/>
                <w14:textFill>
                  <w14:solidFill>
                    <w14:schemeClr w14:val="tx1"/>
                  </w14:solidFill>
                </w14:textFill>
              </w:rPr>
              <w:t>单位</w:t>
            </w:r>
          </w:p>
        </w:tc>
      </w:tr>
      <w:tr w14:paraId="2ED08F8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46" w:type="dxa"/>
            <w:vAlign w:val="center"/>
          </w:tcPr>
          <w:p w14:paraId="68B84258">
            <w:pPr>
              <w:jc w:val="center"/>
              <w:rPr>
                <w:rFonts w:ascii="宋体" w:hAnsi="宋体" w:cs="仿宋"/>
                <w:color w:val="000000" w:themeColor="text1"/>
                <w:sz w:val="24"/>
                <w14:textFill>
                  <w14:solidFill>
                    <w14:schemeClr w14:val="tx1"/>
                  </w14:solidFill>
                </w14:textFill>
              </w:rPr>
            </w:pPr>
            <w:r>
              <w:rPr>
                <w:rFonts w:hint="eastAsia" w:ascii="宋体" w:hAnsi="宋体" w:cs="仿宋"/>
                <w:color w:val="000000" w:themeColor="text1"/>
                <w:sz w:val="24"/>
                <w14:textFill>
                  <w14:solidFill>
                    <w14:schemeClr w14:val="tx1"/>
                  </w14:solidFill>
                </w14:textFill>
              </w:rPr>
              <w:t>1</w:t>
            </w:r>
          </w:p>
        </w:tc>
        <w:tc>
          <w:tcPr>
            <w:tcW w:w="3969" w:type="dxa"/>
            <w:vAlign w:val="center"/>
          </w:tcPr>
          <w:p w14:paraId="7FD60BE5">
            <w:pPr>
              <w:jc w:val="center"/>
              <w:rPr>
                <w:rFonts w:ascii="宋体" w:hAnsi="宋体" w:cs="仿宋"/>
                <w:color w:val="000000" w:themeColor="text1"/>
                <w:sz w:val="24"/>
                <w14:textFill>
                  <w14:solidFill>
                    <w14:schemeClr w14:val="tx1"/>
                  </w14:solidFill>
                </w14:textFill>
              </w:rPr>
            </w:pPr>
            <w:r>
              <w:rPr>
                <w:rFonts w:hint="eastAsia" w:ascii="宋体" w:hAnsi="宋体" w:cs="仿宋"/>
                <w:color w:val="000000" w:themeColor="text1"/>
                <w:sz w:val="24"/>
                <w14:textFill>
                  <w14:solidFill>
                    <w14:schemeClr w14:val="tx1"/>
                  </w14:solidFill>
                </w14:textFill>
              </w:rPr>
              <w:t>等保测评服务</w:t>
            </w:r>
          </w:p>
        </w:tc>
        <w:tc>
          <w:tcPr>
            <w:tcW w:w="1353" w:type="dxa"/>
          </w:tcPr>
          <w:p w14:paraId="51935FE7">
            <w:pPr>
              <w:jc w:val="center"/>
              <w:rPr>
                <w:rFonts w:ascii="宋体" w:hAnsi="宋体" w:cs="仿宋"/>
                <w:color w:val="000000" w:themeColor="text1"/>
                <w:sz w:val="24"/>
                <w14:textFill>
                  <w14:solidFill>
                    <w14:schemeClr w14:val="tx1"/>
                  </w14:solidFill>
                </w14:textFill>
              </w:rPr>
            </w:pPr>
            <w:r>
              <w:rPr>
                <w:rFonts w:hint="eastAsia" w:ascii="宋体" w:hAnsi="宋体" w:cs="仿宋"/>
                <w:color w:val="000000" w:themeColor="text1"/>
                <w:sz w:val="24"/>
                <w14:textFill>
                  <w14:solidFill>
                    <w14:schemeClr w14:val="tx1"/>
                  </w14:solidFill>
                </w14:textFill>
              </w:rPr>
              <w:t>查看现场</w:t>
            </w:r>
          </w:p>
        </w:tc>
        <w:tc>
          <w:tcPr>
            <w:tcW w:w="934" w:type="dxa"/>
            <w:vAlign w:val="center"/>
          </w:tcPr>
          <w:p w14:paraId="1DD30998">
            <w:pPr>
              <w:jc w:val="center"/>
              <w:rPr>
                <w:rFonts w:ascii="宋体" w:hAnsi="宋体" w:cs="仿宋"/>
                <w:color w:val="000000" w:themeColor="text1"/>
                <w:sz w:val="24"/>
                <w14:textFill>
                  <w14:solidFill>
                    <w14:schemeClr w14:val="tx1"/>
                  </w14:solidFill>
                </w14:textFill>
              </w:rPr>
            </w:pPr>
            <w:r>
              <w:rPr>
                <w:rFonts w:hint="eastAsia" w:ascii="宋体" w:hAnsi="宋体" w:cs="仿宋"/>
                <w:color w:val="000000" w:themeColor="text1"/>
                <w:sz w:val="24"/>
                <w14:textFill>
                  <w14:solidFill>
                    <w14:schemeClr w14:val="tx1"/>
                  </w14:solidFill>
                </w14:textFill>
              </w:rPr>
              <w:t>4</w:t>
            </w:r>
          </w:p>
        </w:tc>
        <w:tc>
          <w:tcPr>
            <w:tcW w:w="733" w:type="dxa"/>
          </w:tcPr>
          <w:p w14:paraId="4423DC8B">
            <w:pPr>
              <w:jc w:val="center"/>
              <w:rPr>
                <w:rFonts w:ascii="宋体" w:hAnsi="宋体" w:cs="仿宋"/>
                <w:color w:val="000000" w:themeColor="text1"/>
                <w:sz w:val="24"/>
                <w14:textFill>
                  <w14:solidFill>
                    <w14:schemeClr w14:val="tx1"/>
                  </w14:solidFill>
                </w14:textFill>
              </w:rPr>
            </w:pPr>
            <w:r>
              <w:rPr>
                <w:rFonts w:hint="eastAsia" w:ascii="宋体" w:hAnsi="宋体" w:cs="仿宋"/>
                <w:color w:val="000000" w:themeColor="text1"/>
                <w:sz w:val="24"/>
                <w14:textFill>
                  <w14:solidFill>
                    <w14:schemeClr w14:val="tx1"/>
                  </w14:solidFill>
                </w14:textFill>
              </w:rPr>
              <w:t>套</w:t>
            </w:r>
          </w:p>
        </w:tc>
      </w:tr>
      <w:tr w14:paraId="4F8EFE6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46" w:type="dxa"/>
            <w:vAlign w:val="center"/>
          </w:tcPr>
          <w:p w14:paraId="04DD8848">
            <w:pPr>
              <w:jc w:val="center"/>
              <w:rPr>
                <w:rFonts w:ascii="宋体" w:hAnsi="宋体" w:cs="仿宋"/>
                <w:color w:val="000000" w:themeColor="text1"/>
                <w:sz w:val="24"/>
                <w14:textFill>
                  <w14:solidFill>
                    <w14:schemeClr w14:val="tx1"/>
                  </w14:solidFill>
                </w14:textFill>
              </w:rPr>
            </w:pPr>
            <w:r>
              <w:rPr>
                <w:rFonts w:hint="eastAsia" w:ascii="宋体" w:hAnsi="宋体" w:cs="仿宋"/>
                <w:color w:val="000000" w:themeColor="text1"/>
                <w:sz w:val="24"/>
                <w14:textFill>
                  <w14:solidFill>
                    <w14:schemeClr w14:val="tx1"/>
                  </w14:solidFill>
                </w14:textFill>
              </w:rPr>
              <w:t>2</w:t>
            </w:r>
          </w:p>
        </w:tc>
        <w:tc>
          <w:tcPr>
            <w:tcW w:w="3969" w:type="dxa"/>
            <w:vAlign w:val="center"/>
          </w:tcPr>
          <w:p w14:paraId="41C1EC3A">
            <w:pPr>
              <w:jc w:val="center"/>
              <w:rPr>
                <w:rFonts w:ascii="宋体" w:hAnsi="宋体" w:cs="仿宋"/>
                <w:color w:val="000000" w:themeColor="text1"/>
                <w:sz w:val="24"/>
                <w14:textFill>
                  <w14:solidFill>
                    <w14:schemeClr w14:val="tx1"/>
                  </w14:solidFill>
                </w14:textFill>
              </w:rPr>
            </w:pPr>
            <w:r>
              <w:rPr>
                <w:rFonts w:hint="eastAsia" w:ascii="宋体" w:hAnsi="宋体" w:cs="仿宋"/>
                <w:color w:val="000000" w:themeColor="text1"/>
                <w:sz w:val="24"/>
                <w14:textFill>
                  <w14:solidFill>
                    <w14:schemeClr w14:val="tx1"/>
                  </w14:solidFill>
                </w14:textFill>
              </w:rPr>
              <w:t>安全服务</w:t>
            </w:r>
          </w:p>
        </w:tc>
        <w:tc>
          <w:tcPr>
            <w:tcW w:w="1353" w:type="dxa"/>
          </w:tcPr>
          <w:p w14:paraId="47903E25">
            <w:pPr>
              <w:jc w:val="center"/>
              <w:rPr>
                <w:rFonts w:ascii="宋体" w:hAnsi="宋体" w:cs="仿宋"/>
                <w:color w:val="000000" w:themeColor="text1"/>
                <w:sz w:val="24"/>
                <w14:textFill>
                  <w14:solidFill>
                    <w14:schemeClr w14:val="tx1"/>
                  </w14:solidFill>
                </w14:textFill>
              </w:rPr>
            </w:pPr>
            <w:r>
              <w:rPr>
                <w:rFonts w:hint="eastAsia" w:ascii="宋体" w:hAnsi="宋体" w:cs="仿宋"/>
                <w:color w:val="000000" w:themeColor="text1"/>
                <w:sz w:val="24"/>
                <w14:textFill>
                  <w14:solidFill>
                    <w14:schemeClr w14:val="tx1"/>
                  </w14:solidFill>
                </w14:textFill>
              </w:rPr>
              <w:t>查看现场</w:t>
            </w:r>
          </w:p>
        </w:tc>
        <w:tc>
          <w:tcPr>
            <w:tcW w:w="934" w:type="dxa"/>
            <w:vAlign w:val="center"/>
          </w:tcPr>
          <w:p w14:paraId="03ACD974">
            <w:pPr>
              <w:jc w:val="center"/>
              <w:rPr>
                <w:rFonts w:ascii="宋体" w:hAnsi="宋体" w:cs="仿宋"/>
                <w:color w:val="000000" w:themeColor="text1"/>
                <w:sz w:val="24"/>
                <w14:textFill>
                  <w14:solidFill>
                    <w14:schemeClr w14:val="tx1"/>
                  </w14:solidFill>
                </w14:textFill>
              </w:rPr>
            </w:pPr>
            <w:r>
              <w:rPr>
                <w:rFonts w:hint="eastAsia" w:ascii="宋体" w:hAnsi="宋体" w:cs="仿宋"/>
                <w:color w:val="000000" w:themeColor="text1"/>
                <w:sz w:val="24"/>
                <w14:textFill>
                  <w14:solidFill>
                    <w14:schemeClr w14:val="tx1"/>
                  </w14:solidFill>
                </w14:textFill>
              </w:rPr>
              <w:t>1</w:t>
            </w:r>
          </w:p>
        </w:tc>
        <w:tc>
          <w:tcPr>
            <w:tcW w:w="733" w:type="dxa"/>
          </w:tcPr>
          <w:p w14:paraId="191ED99C">
            <w:pPr>
              <w:jc w:val="center"/>
              <w:rPr>
                <w:rFonts w:ascii="宋体" w:hAnsi="宋体" w:cs="仿宋"/>
                <w:color w:val="000000" w:themeColor="text1"/>
                <w:sz w:val="24"/>
                <w14:textFill>
                  <w14:solidFill>
                    <w14:schemeClr w14:val="tx1"/>
                  </w14:solidFill>
                </w14:textFill>
              </w:rPr>
            </w:pPr>
            <w:r>
              <w:rPr>
                <w:rFonts w:hint="eastAsia" w:ascii="宋体" w:hAnsi="宋体" w:cs="仿宋"/>
                <w:color w:val="000000" w:themeColor="text1"/>
                <w:sz w:val="24"/>
                <w14:textFill>
                  <w14:solidFill>
                    <w14:schemeClr w14:val="tx1"/>
                  </w14:solidFill>
                </w14:textFill>
              </w:rPr>
              <w:t>套</w:t>
            </w:r>
          </w:p>
        </w:tc>
      </w:tr>
    </w:tbl>
    <w:p w14:paraId="295F9569">
      <w:pPr>
        <w:spacing w:line="560" w:lineRule="exact"/>
        <w:rPr>
          <w:rFonts w:ascii="宋体" w:hAnsi="宋体" w:cs="仿宋_GB2312"/>
          <w:b/>
          <w:bCs/>
          <w:color w:val="000000"/>
          <w:sz w:val="28"/>
          <w:szCs w:val="28"/>
        </w:rPr>
      </w:pPr>
      <w:r>
        <w:rPr>
          <w:rFonts w:hint="eastAsia" w:ascii="宋体" w:hAnsi="宋体" w:cs="仿宋_GB2312"/>
          <w:b/>
          <w:bCs/>
          <w:color w:val="000000"/>
          <w:sz w:val="28"/>
          <w:szCs w:val="28"/>
        </w:rPr>
        <w:t>二、技术要求</w:t>
      </w:r>
    </w:p>
    <w:p w14:paraId="3CE97DD4">
      <w:pPr>
        <w:rPr>
          <w:rFonts w:ascii="宋体" w:hAnsi="宋体" w:cs="仿宋"/>
          <w:color w:val="000000" w:themeColor="text1"/>
          <w:sz w:val="24"/>
          <w14:textFill>
            <w14:solidFill>
              <w14:schemeClr w14:val="tx1"/>
            </w14:solidFill>
          </w14:textFill>
        </w:rPr>
      </w:pPr>
      <w:r>
        <w:rPr>
          <w:rFonts w:hint="eastAsia" w:ascii="宋体" w:hAnsi="宋体" w:cs="仿宋"/>
          <w:color w:val="000000" w:themeColor="text1"/>
          <w:sz w:val="24"/>
          <w14:textFill>
            <w14:solidFill>
              <w14:schemeClr w14:val="tx1"/>
            </w14:solidFill>
          </w14:textFill>
        </w:rPr>
        <w:t>（1）</w:t>
      </w:r>
      <w:r>
        <w:rPr>
          <w:rFonts w:hint="eastAsia" w:ascii="宋体" w:hAnsi="宋体" w:cs="宋体"/>
          <w:color w:val="000000" w:themeColor="text1"/>
          <w:sz w:val="24"/>
          <w14:textFill>
            <w14:solidFill>
              <w14:schemeClr w14:val="tx1"/>
            </w14:solidFill>
          </w14:textFill>
        </w:rPr>
        <w:t>等保测评服务</w:t>
      </w:r>
    </w:p>
    <w:tbl>
      <w:tblPr>
        <w:tblStyle w:val="6"/>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988"/>
        <w:gridCol w:w="1701"/>
        <w:gridCol w:w="5607"/>
      </w:tblGrid>
      <w:tr w14:paraId="00AC601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jc w:val="center"/>
        </w:trPr>
        <w:tc>
          <w:tcPr>
            <w:tcW w:w="988" w:type="dxa"/>
          </w:tcPr>
          <w:p w14:paraId="648CF80B">
            <w:pPr>
              <w:jc w:val="center"/>
              <w:rPr>
                <w:rFonts w:ascii="宋体" w:hAnsi="宋体" w:cs="仿宋"/>
                <w:color w:val="000000" w:themeColor="text1"/>
                <w:sz w:val="24"/>
                <w14:textFill>
                  <w14:solidFill>
                    <w14:schemeClr w14:val="tx1"/>
                  </w14:solidFill>
                </w14:textFill>
              </w:rPr>
            </w:pPr>
            <w:r>
              <w:rPr>
                <w:rFonts w:hint="eastAsia" w:ascii="宋体" w:hAnsi="宋体" w:cs="仿宋"/>
                <w:color w:val="000000" w:themeColor="text1"/>
                <w:sz w:val="24"/>
                <w14:textFill>
                  <w14:solidFill>
                    <w14:schemeClr w14:val="tx1"/>
                  </w14:solidFill>
                </w14:textFill>
              </w:rPr>
              <w:t>序号</w:t>
            </w:r>
          </w:p>
        </w:tc>
        <w:tc>
          <w:tcPr>
            <w:tcW w:w="1701" w:type="dxa"/>
          </w:tcPr>
          <w:p w14:paraId="0F14A986">
            <w:pPr>
              <w:jc w:val="center"/>
              <w:rPr>
                <w:rFonts w:ascii="宋体" w:hAnsi="宋体" w:cs="仿宋"/>
                <w:color w:val="000000" w:themeColor="text1"/>
                <w:sz w:val="24"/>
                <w14:textFill>
                  <w14:solidFill>
                    <w14:schemeClr w14:val="tx1"/>
                  </w14:solidFill>
                </w14:textFill>
              </w:rPr>
            </w:pPr>
            <w:r>
              <w:rPr>
                <w:rFonts w:hint="eastAsia" w:ascii="宋体" w:hAnsi="宋体" w:cs="仿宋"/>
                <w:color w:val="000000" w:themeColor="text1"/>
                <w:sz w:val="24"/>
                <w14:textFill>
                  <w14:solidFill>
                    <w14:schemeClr w14:val="tx1"/>
                  </w14:solidFill>
                </w14:textFill>
              </w:rPr>
              <w:t>名称</w:t>
            </w:r>
          </w:p>
        </w:tc>
        <w:tc>
          <w:tcPr>
            <w:tcW w:w="5607" w:type="dxa"/>
          </w:tcPr>
          <w:p w14:paraId="26B81FE5">
            <w:pPr>
              <w:jc w:val="center"/>
              <w:rPr>
                <w:rFonts w:ascii="宋体" w:hAnsi="宋体" w:cs="仿宋"/>
                <w:color w:val="000000" w:themeColor="text1"/>
                <w:sz w:val="24"/>
                <w14:textFill>
                  <w14:solidFill>
                    <w14:schemeClr w14:val="tx1"/>
                  </w14:solidFill>
                </w14:textFill>
              </w:rPr>
            </w:pPr>
            <w:r>
              <w:rPr>
                <w:rFonts w:hint="eastAsia" w:ascii="宋体" w:hAnsi="宋体" w:cs="仿宋"/>
                <w:color w:val="000000" w:themeColor="text1"/>
                <w:sz w:val="24"/>
                <w14:textFill>
                  <w14:solidFill>
                    <w14:schemeClr w14:val="tx1"/>
                  </w14:solidFill>
                </w14:textFill>
              </w:rPr>
              <w:t>功能、性能、配置要求</w:t>
            </w:r>
          </w:p>
        </w:tc>
      </w:tr>
      <w:tr w14:paraId="46C3B1A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9" w:hRule="atLeast"/>
          <w:jc w:val="center"/>
        </w:trPr>
        <w:tc>
          <w:tcPr>
            <w:tcW w:w="988" w:type="dxa"/>
            <w:vAlign w:val="center"/>
          </w:tcPr>
          <w:p w14:paraId="6FEF52A1">
            <w:pPr>
              <w:jc w:val="center"/>
              <w:rPr>
                <w:rFonts w:ascii="宋体" w:hAnsi="宋体" w:cs="仿宋"/>
                <w:color w:val="000000" w:themeColor="text1"/>
                <w:sz w:val="24"/>
                <w14:textFill>
                  <w14:solidFill>
                    <w14:schemeClr w14:val="tx1"/>
                  </w14:solidFill>
                </w14:textFill>
              </w:rPr>
            </w:pPr>
            <w:r>
              <w:rPr>
                <w:rFonts w:hint="eastAsia" w:ascii="宋体" w:hAnsi="宋体" w:cs="仿宋"/>
                <w:color w:val="000000" w:themeColor="text1"/>
                <w:sz w:val="24"/>
                <w14:textFill>
                  <w14:solidFill>
                    <w14:schemeClr w14:val="tx1"/>
                  </w14:solidFill>
                </w14:textFill>
              </w:rPr>
              <w:t>1</w:t>
            </w:r>
          </w:p>
        </w:tc>
        <w:tc>
          <w:tcPr>
            <w:tcW w:w="1701" w:type="dxa"/>
            <w:vAlign w:val="center"/>
          </w:tcPr>
          <w:p w14:paraId="4B41E97E">
            <w:pPr>
              <w:jc w:val="center"/>
              <w:rPr>
                <w:rFonts w:ascii="宋体" w:hAnsi="宋体" w:cs="仿宋"/>
                <w:color w:val="000000" w:themeColor="text1"/>
                <w:sz w:val="24"/>
                <w14:textFill>
                  <w14:solidFill>
                    <w14:schemeClr w14:val="tx1"/>
                  </w14:solidFill>
                </w14:textFill>
              </w:rPr>
            </w:pPr>
            <w:r>
              <w:rPr>
                <w:rFonts w:hint="eastAsia" w:ascii="宋体" w:hAnsi="宋体" w:cs="仿宋"/>
                <w:color w:val="000000" w:themeColor="text1"/>
                <w:sz w:val="24"/>
                <w14:textFill>
                  <w14:solidFill>
                    <w14:schemeClr w14:val="tx1"/>
                  </w14:solidFill>
                </w14:textFill>
              </w:rPr>
              <w:t>★实质性要求</w:t>
            </w:r>
          </w:p>
        </w:tc>
        <w:tc>
          <w:tcPr>
            <w:tcW w:w="5607" w:type="dxa"/>
          </w:tcPr>
          <w:p w14:paraId="263F8D97">
            <w:pPr>
              <w:jc w:val="left"/>
              <w:rPr>
                <w:rFonts w:ascii="宋体" w:hAnsi="宋体"/>
                <w:sz w:val="24"/>
              </w:rPr>
            </w:pPr>
            <w:r>
              <w:rPr>
                <w:rFonts w:hint="eastAsia" w:ascii="宋体" w:hAnsi="宋体"/>
                <w:sz w:val="24"/>
              </w:rPr>
              <w:t>1、开展信息系统安全等级保护测评。根据《信息安全等级保护管理办法》、《信息系统安全等级保护基本要求》，参照《信息系统安全管理要求》、《信息系统安全工程管理要求》等标准规范要求，对现有信息安全管理制度进行测评，在信息安全责任制建设、人员安全管理、系统建设管理、系统运维管理等方面提供相应的指导以符合信息安全等级保护制度层面的相关要求，完善江苏省第二中医院信息安全管理体系，切实提高信息安全管理水平。</w:t>
            </w:r>
          </w:p>
          <w:p w14:paraId="6F27B38B">
            <w:pPr>
              <w:jc w:val="left"/>
              <w:rPr>
                <w:rFonts w:ascii="宋体" w:hAnsi="宋体"/>
                <w:sz w:val="24"/>
              </w:rPr>
            </w:pPr>
            <w:r>
              <w:rPr>
                <w:rFonts w:hint="eastAsia" w:ascii="宋体" w:hAnsi="宋体"/>
                <w:sz w:val="24"/>
              </w:rPr>
              <w:t>2、开展信息系统安全等级保护安全技术措施测评。根据《信息安全等级保护管理办法》、《信息系统安全等级保护基本要求》，参照《信息系统安全等级保护实施指南》、《信息系统通用安全技术要求》、《信息系统安全工程管理要求》、《信息系统等级保护安全设计要求》等标准规范要求，结合行业特点和本单位自身安全需求，对物理安全、网络安全、主机安全、应用安全和数据安全进行测评，并形成信息安全等级保护差异分析报告。</w:t>
            </w:r>
          </w:p>
          <w:p w14:paraId="611FC598">
            <w:pPr>
              <w:jc w:val="left"/>
              <w:rPr>
                <w:rFonts w:ascii="宋体" w:hAnsi="宋体"/>
                <w:sz w:val="24"/>
              </w:rPr>
            </w:pPr>
            <w:r>
              <w:rPr>
                <w:rFonts w:hint="eastAsia" w:ascii="宋体" w:hAnsi="宋体"/>
                <w:sz w:val="24"/>
              </w:rPr>
              <w:t>3、协助江苏省第二中医院开展信息系统安全等级保护整改。在现场测评结束后，进行差距汇总并提出整改方案，针对可立即整改的问题应及时与相关人员沟通，协助完成相关的整改；对无法及时整改的内容提出书面的整改建议并协助进行逐步整改。</w:t>
            </w:r>
          </w:p>
          <w:p w14:paraId="454474C7">
            <w:pPr>
              <w:jc w:val="left"/>
              <w:rPr>
                <w:rFonts w:ascii="宋体" w:hAnsi="宋体"/>
                <w:sz w:val="24"/>
              </w:rPr>
            </w:pPr>
            <w:r>
              <w:rPr>
                <w:rFonts w:hint="eastAsia" w:ascii="宋体" w:hAnsi="宋体"/>
                <w:sz w:val="24"/>
              </w:rPr>
              <w:t>4、测评完成之后，提供每个系统测评报告和整改建议，例如《XX系统信息系统测评报告》和《XX系统信息安全等级保护整改方案》。</w:t>
            </w:r>
          </w:p>
          <w:p w14:paraId="469F5294">
            <w:pPr>
              <w:jc w:val="left"/>
              <w:rPr>
                <w:rFonts w:ascii="宋体" w:hAnsi="宋体"/>
                <w:sz w:val="24"/>
              </w:rPr>
            </w:pPr>
            <w:r>
              <w:rPr>
                <w:rFonts w:ascii="宋体" w:hAnsi="宋体"/>
                <w:sz w:val="24"/>
              </w:rPr>
              <w:t>5、</w:t>
            </w:r>
            <w:r>
              <w:rPr>
                <w:rFonts w:hint="eastAsia" w:ascii="宋体" w:hAnsi="宋体"/>
                <w:sz w:val="24"/>
              </w:rPr>
              <w:t>合同签订之日起3个月内完成等保测评相关工作，并出具符合格式要求的等级测评报告供网安部门审核，配合采购人完成等级保护测评工作，网络安全服务按需调整服务时间。</w:t>
            </w:r>
          </w:p>
          <w:p w14:paraId="692FC816">
            <w:pPr>
              <w:jc w:val="left"/>
              <w:rPr>
                <w:rFonts w:ascii="宋体" w:hAnsi="宋体"/>
                <w:sz w:val="24"/>
              </w:rPr>
            </w:pPr>
            <w:r>
              <w:rPr>
                <w:rFonts w:hint="eastAsia" w:ascii="宋体" w:hAnsi="宋体"/>
                <w:sz w:val="24"/>
              </w:rPr>
              <w:t>6、服务标准：</w:t>
            </w:r>
          </w:p>
          <w:p w14:paraId="691BE967">
            <w:pPr>
              <w:jc w:val="left"/>
              <w:rPr>
                <w:rFonts w:ascii="宋体" w:hAnsi="宋体"/>
                <w:sz w:val="24"/>
              </w:rPr>
            </w:pPr>
            <w:r>
              <w:rPr>
                <w:rFonts w:hint="eastAsia" w:ascii="宋体" w:hAnsi="宋体"/>
                <w:sz w:val="24"/>
              </w:rPr>
              <w:t>（1）《信息安全等级保护管理办法》</w:t>
            </w:r>
          </w:p>
          <w:p w14:paraId="6ED60675">
            <w:pPr>
              <w:jc w:val="left"/>
              <w:rPr>
                <w:rFonts w:ascii="宋体" w:hAnsi="宋体"/>
                <w:sz w:val="24"/>
              </w:rPr>
            </w:pPr>
            <w:r>
              <w:rPr>
                <w:rFonts w:hint="eastAsia" w:ascii="宋体" w:hAnsi="宋体"/>
                <w:sz w:val="24"/>
              </w:rPr>
              <w:t>（2）《信息系统安全等级保护实施指南》 （GB/T 25058）</w:t>
            </w:r>
          </w:p>
          <w:p w14:paraId="23C2A1E1">
            <w:pPr>
              <w:jc w:val="left"/>
              <w:rPr>
                <w:rFonts w:ascii="宋体" w:hAnsi="宋体"/>
                <w:sz w:val="24"/>
              </w:rPr>
            </w:pPr>
            <w:r>
              <w:rPr>
                <w:rFonts w:hint="eastAsia" w:ascii="宋体" w:hAnsi="宋体"/>
                <w:sz w:val="24"/>
              </w:rPr>
              <w:t>（3）《信息系统安全保护等级定级指南》 （GB/T 22240）</w:t>
            </w:r>
          </w:p>
          <w:p w14:paraId="7CC8F373">
            <w:pPr>
              <w:jc w:val="left"/>
              <w:rPr>
                <w:rFonts w:ascii="宋体" w:hAnsi="宋体"/>
                <w:sz w:val="24"/>
              </w:rPr>
            </w:pPr>
            <w:r>
              <w:rPr>
                <w:rFonts w:hint="eastAsia" w:ascii="宋体" w:hAnsi="宋体"/>
                <w:sz w:val="24"/>
              </w:rPr>
              <w:t>（4）《信息系统安全等级保护基本要求》 （GB/T 22239）</w:t>
            </w:r>
          </w:p>
          <w:p w14:paraId="44308441">
            <w:pPr>
              <w:jc w:val="left"/>
              <w:rPr>
                <w:rFonts w:ascii="宋体" w:hAnsi="宋体"/>
                <w:sz w:val="24"/>
              </w:rPr>
            </w:pPr>
            <w:r>
              <w:rPr>
                <w:rFonts w:hint="eastAsia" w:ascii="宋体" w:hAnsi="宋体"/>
                <w:sz w:val="24"/>
              </w:rPr>
              <w:t>（5）《信息系统安全等级保护测评要求》 （GB/T 28448）</w:t>
            </w:r>
          </w:p>
          <w:p w14:paraId="144E86A9">
            <w:pPr>
              <w:jc w:val="left"/>
              <w:rPr>
                <w:rFonts w:ascii="宋体" w:hAnsi="宋体"/>
                <w:sz w:val="24"/>
              </w:rPr>
            </w:pPr>
            <w:r>
              <w:rPr>
                <w:rFonts w:hint="eastAsia" w:ascii="宋体" w:hAnsi="宋体"/>
                <w:sz w:val="24"/>
              </w:rPr>
              <w:t>（6）《信息系统安全等级保护测评过程指南》 （GB/T 28449）</w:t>
            </w:r>
          </w:p>
          <w:p w14:paraId="2390BB17">
            <w:pPr>
              <w:jc w:val="left"/>
              <w:rPr>
                <w:rFonts w:ascii="宋体" w:hAnsi="宋体"/>
                <w:sz w:val="24"/>
              </w:rPr>
            </w:pPr>
            <w:r>
              <w:rPr>
                <w:rFonts w:hint="eastAsia" w:ascii="宋体" w:hAnsi="宋体"/>
                <w:sz w:val="24"/>
              </w:rPr>
              <w:t>7、售后服务</w:t>
            </w:r>
          </w:p>
          <w:p w14:paraId="0288F7A9">
            <w:pPr>
              <w:jc w:val="left"/>
              <w:rPr>
                <w:rFonts w:ascii="宋体" w:hAnsi="宋体"/>
                <w:sz w:val="24"/>
              </w:rPr>
            </w:pPr>
            <w:r>
              <w:rPr>
                <w:rFonts w:hint="eastAsia" w:ascii="宋体" w:hAnsi="宋体"/>
                <w:sz w:val="24"/>
              </w:rPr>
              <w:t>中标人须提供售后服务，线上或线下提供技术支撑，协助整改。</w:t>
            </w:r>
          </w:p>
          <w:p w14:paraId="09762273">
            <w:pPr>
              <w:jc w:val="left"/>
              <w:rPr>
                <w:rFonts w:ascii="宋体" w:hAnsi="宋体"/>
                <w:sz w:val="24"/>
              </w:rPr>
            </w:pPr>
            <w:r>
              <w:rPr>
                <w:rFonts w:hint="eastAsia" w:ascii="宋体" w:hAnsi="宋体"/>
                <w:sz w:val="24"/>
              </w:rPr>
              <w:t>8、工作中涉及的敏感资料、电子数据等相关信息，中标供应商应严格执行保密的相关规定，不得以任何方式向任何第三人披露、泄露或许可第三人使用，否则追究其相应法律责任</w:t>
            </w:r>
          </w:p>
          <w:p w14:paraId="4C85DEDD">
            <w:pPr>
              <w:jc w:val="left"/>
              <w:rPr>
                <w:rFonts w:hint="eastAsia" w:ascii="Calibri" w:hAnsi="Calibri"/>
              </w:rPr>
            </w:pPr>
            <w:r>
              <w:rPr>
                <w:rFonts w:ascii="宋体" w:hAnsi="宋体"/>
                <w:sz w:val="24"/>
              </w:rPr>
              <w:t>9、</w:t>
            </w:r>
            <w:r>
              <w:rPr>
                <w:rFonts w:hint="eastAsia" w:ascii="宋体" w:hAnsi="宋体"/>
                <w:sz w:val="24"/>
              </w:rPr>
              <w:t>提供原厂服务承诺函及授权并加盖公章</w:t>
            </w:r>
          </w:p>
        </w:tc>
      </w:tr>
      <w:tr w14:paraId="293EC92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88" w:type="dxa"/>
            <w:vAlign w:val="center"/>
          </w:tcPr>
          <w:p w14:paraId="5C844D01">
            <w:pPr>
              <w:jc w:val="center"/>
              <w:rPr>
                <w:rFonts w:ascii="宋体" w:hAnsi="宋体" w:cs="仿宋"/>
                <w:color w:val="000000" w:themeColor="text1"/>
                <w:sz w:val="24"/>
                <w14:textFill>
                  <w14:solidFill>
                    <w14:schemeClr w14:val="tx1"/>
                  </w14:solidFill>
                </w14:textFill>
              </w:rPr>
            </w:pPr>
            <w:r>
              <w:rPr>
                <w:rFonts w:hint="eastAsia" w:ascii="宋体" w:hAnsi="宋体" w:cs="仿宋"/>
                <w:color w:val="000000" w:themeColor="text1"/>
                <w:sz w:val="24"/>
                <w14:textFill>
                  <w14:solidFill>
                    <w14:schemeClr w14:val="tx1"/>
                  </w14:solidFill>
                </w14:textFill>
              </w:rPr>
              <w:t>2</w:t>
            </w:r>
          </w:p>
        </w:tc>
        <w:tc>
          <w:tcPr>
            <w:tcW w:w="1701" w:type="dxa"/>
            <w:vAlign w:val="center"/>
          </w:tcPr>
          <w:p w14:paraId="5A8B15AC">
            <w:pPr>
              <w:jc w:val="center"/>
              <w:rPr>
                <w:rFonts w:ascii="宋体" w:hAnsi="宋体" w:cs="仿宋"/>
                <w:color w:val="000000" w:themeColor="text1"/>
                <w:sz w:val="24"/>
                <w14:textFill>
                  <w14:solidFill>
                    <w14:schemeClr w14:val="tx1"/>
                  </w14:solidFill>
                </w14:textFill>
              </w:rPr>
            </w:pPr>
            <w:r>
              <w:rPr>
                <w:rFonts w:hint="eastAsia" w:ascii="宋体" w:hAnsi="宋体" w:cs="仿宋"/>
                <w:color w:val="000000" w:themeColor="text1"/>
                <w:sz w:val="24"/>
                <w14:textFill>
                  <w14:solidFill>
                    <w14:schemeClr w14:val="tx1"/>
                  </w14:solidFill>
                </w14:textFill>
              </w:rPr>
              <w:t>非实质性要求</w:t>
            </w:r>
          </w:p>
        </w:tc>
        <w:tc>
          <w:tcPr>
            <w:tcW w:w="5607" w:type="dxa"/>
          </w:tcPr>
          <w:p w14:paraId="24CB606C">
            <w:pPr>
              <w:jc w:val="left"/>
              <w:rPr>
                <w:rFonts w:ascii="宋体" w:hAnsi="宋体" w:cs="仿宋"/>
                <w:color w:val="000000" w:themeColor="text1"/>
                <w:sz w:val="24"/>
                <w14:textFill>
                  <w14:solidFill>
                    <w14:schemeClr w14:val="tx1"/>
                  </w14:solidFill>
                </w14:textFill>
              </w:rPr>
            </w:pPr>
            <w:r>
              <w:rPr>
                <w:rFonts w:hint="eastAsia" w:ascii="宋体" w:hAnsi="宋体" w:cs="仿宋"/>
                <w:color w:val="000000" w:themeColor="text1"/>
                <w:sz w:val="24"/>
                <w14:textFill>
                  <w14:solidFill>
                    <w14:schemeClr w14:val="tx1"/>
                  </w14:solidFill>
                </w14:textFill>
              </w:rPr>
              <w:t>无</w:t>
            </w:r>
          </w:p>
        </w:tc>
      </w:tr>
    </w:tbl>
    <w:p w14:paraId="68B7C6AA">
      <w:pPr>
        <w:rPr>
          <w:rFonts w:ascii="宋体" w:hAnsi="宋体" w:cs="仿宋"/>
          <w:color w:val="000000" w:themeColor="text1"/>
          <w:sz w:val="24"/>
          <w14:textFill>
            <w14:solidFill>
              <w14:schemeClr w14:val="tx1"/>
            </w14:solidFill>
          </w14:textFill>
        </w:rPr>
      </w:pPr>
      <w:r>
        <w:rPr>
          <w:rFonts w:hint="eastAsia" w:ascii="宋体" w:hAnsi="宋体" w:cs="仿宋"/>
          <w:color w:val="000000" w:themeColor="text1"/>
          <w:sz w:val="24"/>
          <w14:textFill>
            <w14:solidFill>
              <w14:schemeClr w14:val="tx1"/>
            </w14:solidFill>
          </w14:textFill>
        </w:rPr>
        <w:t>（2）安全服务</w:t>
      </w:r>
    </w:p>
    <w:tbl>
      <w:tblPr>
        <w:tblStyle w:val="6"/>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988"/>
        <w:gridCol w:w="1701"/>
        <w:gridCol w:w="5607"/>
      </w:tblGrid>
      <w:tr w14:paraId="0382597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88" w:type="dxa"/>
          </w:tcPr>
          <w:p w14:paraId="6D4D5E5E">
            <w:pPr>
              <w:jc w:val="center"/>
              <w:rPr>
                <w:rFonts w:ascii="宋体" w:hAnsi="宋体" w:cs="仿宋"/>
                <w:color w:val="000000" w:themeColor="text1"/>
                <w:sz w:val="24"/>
                <w14:textFill>
                  <w14:solidFill>
                    <w14:schemeClr w14:val="tx1"/>
                  </w14:solidFill>
                </w14:textFill>
              </w:rPr>
            </w:pPr>
            <w:r>
              <w:rPr>
                <w:rFonts w:hint="eastAsia" w:ascii="宋体" w:hAnsi="宋体" w:cs="仿宋"/>
                <w:color w:val="000000" w:themeColor="text1"/>
                <w:sz w:val="24"/>
                <w14:textFill>
                  <w14:solidFill>
                    <w14:schemeClr w14:val="tx1"/>
                  </w14:solidFill>
                </w14:textFill>
              </w:rPr>
              <w:t>序号</w:t>
            </w:r>
          </w:p>
        </w:tc>
        <w:tc>
          <w:tcPr>
            <w:tcW w:w="1701" w:type="dxa"/>
          </w:tcPr>
          <w:p w14:paraId="4C2A2A98">
            <w:pPr>
              <w:jc w:val="center"/>
              <w:rPr>
                <w:rFonts w:ascii="宋体" w:hAnsi="宋体" w:cs="仿宋"/>
                <w:color w:val="000000" w:themeColor="text1"/>
                <w:sz w:val="24"/>
                <w14:textFill>
                  <w14:solidFill>
                    <w14:schemeClr w14:val="tx1"/>
                  </w14:solidFill>
                </w14:textFill>
              </w:rPr>
            </w:pPr>
            <w:r>
              <w:rPr>
                <w:rFonts w:hint="eastAsia" w:ascii="宋体" w:hAnsi="宋体" w:cs="仿宋"/>
                <w:color w:val="000000" w:themeColor="text1"/>
                <w:sz w:val="24"/>
                <w14:textFill>
                  <w14:solidFill>
                    <w14:schemeClr w14:val="tx1"/>
                  </w14:solidFill>
                </w14:textFill>
              </w:rPr>
              <w:t>名称</w:t>
            </w:r>
          </w:p>
        </w:tc>
        <w:tc>
          <w:tcPr>
            <w:tcW w:w="5607" w:type="dxa"/>
          </w:tcPr>
          <w:p w14:paraId="08B0D905">
            <w:pPr>
              <w:jc w:val="center"/>
              <w:rPr>
                <w:rFonts w:ascii="宋体" w:hAnsi="宋体" w:cs="仿宋"/>
                <w:color w:val="000000" w:themeColor="text1"/>
                <w:sz w:val="24"/>
                <w14:textFill>
                  <w14:solidFill>
                    <w14:schemeClr w14:val="tx1"/>
                  </w14:solidFill>
                </w14:textFill>
              </w:rPr>
            </w:pPr>
            <w:r>
              <w:rPr>
                <w:rFonts w:hint="eastAsia" w:ascii="宋体" w:hAnsi="宋体" w:cs="仿宋"/>
                <w:color w:val="000000" w:themeColor="text1"/>
                <w:sz w:val="24"/>
                <w14:textFill>
                  <w14:solidFill>
                    <w14:schemeClr w14:val="tx1"/>
                  </w14:solidFill>
                </w14:textFill>
              </w:rPr>
              <w:t>功能、性能、配置要求</w:t>
            </w:r>
          </w:p>
        </w:tc>
      </w:tr>
      <w:tr w14:paraId="0D88286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9" w:hRule="atLeast"/>
          <w:jc w:val="center"/>
        </w:trPr>
        <w:tc>
          <w:tcPr>
            <w:tcW w:w="988" w:type="dxa"/>
            <w:vAlign w:val="center"/>
          </w:tcPr>
          <w:p w14:paraId="3AAE794E">
            <w:pPr>
              <w:jc w:val="center"/>
              <w:rPr>
                <w:rFonts w:ascii="宋体" w:hAnsi="宋体" w:cs="仿宋"/>
                <w:color w:val="000000" w:themeColor="text1"/>
                <w:sz w:val="24"/>
                <w14:textFill>
                  <w14:solidFill>
                    <w14:schemeClr w14:val="tx1"/>
                  </w14:solidFill>
                </w14:textFill>
              </w:rPr>
            </w:pPr>
            <w:r>
              <w:rPr>
                <w:rFonts w:hint="eastAsia" w:ascii="宋体" w:hAnsi="宋体" w:cs="仿宋"/>
                <w:color w:val="000000" w:themeColor="text1"/>
                <w:sz w:val="24"/>
                <w14:textFill>
                  <w14:solidFill>
                    <w14:schemeClr w14:val="tx1"/>
                  </w14:solidFill>
                </w14:textFill>
              </w:rPr>
              <w:t>1</w:t>
            </w:r>
          </w:p>
        </w:tc>
        <w:tc>
          <w:tcPr>
            <w:tcW w:w="1701" w:type="dxa"/>
            <w:vAlign w:val="center"/>
          </w:tcPr>
          <w:p w14:paraId="527067B9">
            <w:pPr>
              <w:jc w:val="center"/>
              <w:rPr>
                <w:rFonts w:ascii="宋体" w:hAnsi="宋体" w:cs="仿宋"/>
                <w:color w:val="000000" w:themeColor="text1"/>
                <w:sz w:val="24"/>
                <w14:textFill>
                  <w14:solidFill>
                    <w14:schemeClr w14:val="tx1"/>
                  </w14:solidFill>
                </w14:textFill>
              </w:rPr>
            </w:pPr>
            <w:r>
              <w:rPr>
                <w:rFonts w:hint="eastAsia" w:ascii="宋体" w:hAnsi="宋体" w:cs="仿宋"/>
                <w:color w:val="000000" w:themeColor="text1"/>
                <w:sz w:val="24"/>
                <w14:textFill>
                  <w14:solidFill>
                    <w14:schemeClr w14:val="tx1"/>
                  </w14:solidFill>
                </w14:textFill>
              </w:rPr>
              <w:t>★实质性要求</w:t>
            </w:r>
          </w:p>
        </w:tc>
        <w:tc>
          <w:tcPr>
            <w:tcW w:w="5607" w:type="dxa"/>
          </w:tcPr>
          <w:p w14:paraId="0A2A19DE">
            <w:pPr>
              <w:jc w:val="left"/>
              <w:rPr>
                <w:rFonts w:ascii="宋体" w:hAnsi="宋体"/>
                <w:sz w:val="24"/>
              </w:rPr>
            </w:pPr>
            <w:r>
              <w:rPr>
                <w:rFonts w:hint="eastAsia" w:ascii="宋体" w:hAnsi="宋体"/>
                <w:sz w:val="24"/>
              </w:rPr>
              <w:t>总体要求：</w:t>
            </w:r>
          </w:p>
          <w:p w14:paraId="7DF2F487">
            <w:pPr>
              <w:jc w:val="left"/>
              <w:rPr>
                <w:rFonts w:ascii="宋体" w:hAnsi="宋体"/>
                <w:sz w:val="24"/>
              </w:rPr>
            </w:pPr>
            <w:r>
              <w:rPr>
                <w:rFonts w:hint="eastAsia" w:ascii="宋体" w:hAnsi="宋体"/>
                <w:sz w:val="24"/>
              </w:rPr>
              <w:t>1、针对医院现有国产化超融合提供分布式防火墙配置服务，确保虚拟机网络端口和访问策略的精准控制，提供备份与容灾规划服务，针对运行的虚拟机进行备份策略制定及定时验证服务，提供流量可视化梳理服务，针对运行的虚拟机流量进行可视化展示，提供不低于 3 节点分布式防火墙授权、36个虚拟机备份与容灾授权、3 节点流量可视化授权，不低于三年正版化授权服务，最终客户必须为江苏省第二中医院</w:t>
            </w:r>
          </w:p>
          <w:p w14:paraId="771FB458">
            <w:pPr>
              <w:jc w:val="left"/>
              <w:rPr>
                <w:rFonts w:ascii="宋体" w:hAnsi="宋体"/>
                <w:sz w:val="24"/>
              </w:rPr>
            </w:pPr>
            <w:r>
              <w:rPr>
                <w:rFonts w:hint="eastAsia" w:ascii="宋体" w:hAnsi="宋体"/>
                <w:sz w:val="24"/>
              </w:rPr>
              <w:t>2</w:t>
            </w:r>
            <w:r>
              <w:rPr>
                <w:rFonts w:ascii="宋体" w:hAnsi="宋体"/>
                <w:sz w:val="24"/>
              </w:rPr>
              <w:t>、</w:t>
            </w:r>
            <w:r>
              <w:rPr>
                <w:rFonts w:hint="eastAsia" w:ascii="宋体" w:hAnsi="宋体"/>
                <w:sz w:val="24"/>
              </w:rPr>
              <w:t>提供原厂服务承诺函及授权并加盖公章</w:t>
            </w:r>
          </w:p>
          <w:p w14:paraId="77602DA1">
            <w:pPr>
              <w:jc w:val="left"/>
              <w:rPr>
                <w:rFonts w:ascii="宋体" w:hAnsi="宋体"/>
                <w:sz w:val="24"/>
              </w:rPr>
            </w:pPr>
            <w:r>
              <w:rPr>
                <w:rFonts w:hint="eastAsia" w:ascii="宋体" w:hAnsi="宋体"/>
                <w:sz w:val="24"/>
              </w:rPr>
              <w:t>分布式防火墙要求：</w:t>
            </w:r>
          </w:p>
          <w:p w14:paraId="09EE7704">
            <w:pPr>
              <w:jc w:val="left"/>
              <w:rPr>
                <w:rFonts w:ascii="宋体" w:hAnsi="宋体"/>
                <w:sz w:val="24"/>
              </w:rPr>
            </w:pPr>
            <w:r>
              <w:rPr>
                <w:rFonts w:hint="eastAsia" w:ascii="宋体" w:hAnsi="宋体"/>
                <w:sz w:val="24"/>
              </w:rPr>
              <w:t>1、本次交付后现有国产化超融合计算、存储、网络、安全、容灾、备份完全融合，统一通过方式管理。现有国产化超融合品牌技术型号为KVM规格，管理方式需要rest api方式融入现有核心云平台，支持云主机在线迁移，不更变硬件 ID</w:t>
            </w:r>
          </w:p>
          <w:p w14:paraId="69260694">
            <w:pPr>
              <w:jc w:val="left"/>
              <w:rPr>
                <w:rFonts w:ascii="宋体" w:hAnsi="宋体"/>
                <w:sz w:val="24"/>
              </w:rPr>
            </w:pPr>
            <w:r>
              <w:rPr>
                <w:rFonts w:hint="eastAsia" w:ascii="宋体" w:hAnsi="宋体"/>
                <w:sz w:val="24"/>
              </w:rPr>
              <w:t>2、实现基于白名单的分布式防火墙，以满足虚拟机之间以“最小权限”原则进行东西向访问控制的要求。</w:t>
            </w:r>
          </w:p>
          <w:p w14:paraId="4A96EEC6">
            <w:pPr>
              <w:jc w:val="left"/>
              <w:rPr>
                <w:rFonts w:ascii="宋体" w:hAnsi="宋体"/>
                <w:sz w:val="24"/>
              </w:rPr>
            </w:pPr>
            <w:r>
              <w:rPr>
                <w:rFonts w:hint="eastAsia" w:ascii="宋体" w:hAnsi="宋体"/>
                <w:sz w:val="24"/>
              </w:rPr>
              <w:t>3、应当至少基于IP地址 和/或 虚拟机标签 和/或 安全组编写自定义安全策略，通过标签 和/或 安全组实现对不连续IP地址的策略简化</w:t>
            </w:r>
          </w:p>
          <w:p w14:paraId="1B53080F">
            <w:pPr>
              <w:jc w:val="left"/>
              <w:rPr>
                <w:rFonts w:ascii="宋体" w:hAnsi="宋体"/>
                <w:sz w:val="24"/>
              </w:rPr>
            </w:pPr>
            <w:r>
              <w:rPr>
                <w:rFonts w:hint="eastAsia" w:ascii="宋体" w:hAnsi="宋体"/>
                <w:sz w:val="24"/>
              </w:rPr>
              <w:t>4、</w:t>
            </w:r>
            <w:r>
              <w:rPr>
                <w:rFonts w:hint="eastAsia" w:ascii="Calibri" w:hAnsi="Calibri" w:cs="宋体"/>
                <w:color w:val="000000"/>
              </w:rPr>
              <w:t>安全策略配置完成后，必须由管理员选择是否生效、在何时生效</w:t>
            </w:r>
          </w:p>
          <w:p w14:paraId="45409997">
            <w:pPr>
              <w:jc w:val="left"/>
              <w:rPr>
                <w:rFonts w:ascii="宋体" w:hAnsi="宋体"/>
                <w:sz w:val="24"/>
              </w:rPr>
            </w:pPr>
            <w:r>
              <w:rPr>
                <w:rFonts w:hint="eastAsia" w:ascii="宋体" w:hAnsi="宋体"/>
                <w:sz w:val="24"/>
              </w:rPr>
              <w:t>5、应支持在至少10000个虚拟机之间建立东西向安全策略，每个虚拟机至少可以与其他20个虚拟机之间设置不重复的安全策略</w:t>
            </w:r>
          </w:p>
          <w:p w14:paraId="731BCE1A">
            <w:pPr>
              <w:jc w:val="left"/>
              <w:rPr>
                <w:rFonts w:ascii="宋体" w:hAnsi="宋体"/>
                <w:sz w:val="24"/>
              </w:rPr>
            </w:pPr>
            <w:r>
              <w:rPr>
                <w:rFonts w:hint="eastAsia" w:ascii="宋体" w:hAnsi="宋体"/>
                <w:sz w:val="24"/>
              </w:rPr>
              <w:t>备份与容灾规划要求：</w:t>
            </w:r>
          </w:p>
          <w:p w14:paraId="0FD2C4F1">
            <w:pPr>
              <w:jc w:val="left"/>
              <w:rPr>
                <w:rFonts w:ascii="宋体" w:hAnsi="宋体"/>
                <w:sz w:val="24"/>
              </w:rPr>
            </w:pPr>
            <w:r>
              <w:rPr>
                <w:rFonts w:hint="eastAsia" w:ascii="宋体" w:hAnsi="宋体"/>
                <w:sz w:val="24"/>
              </w:rPr>
              <w:t>1、本次交付后现有国产化超融合计算、存储、网络、安全、容灾、备份完全融合，统一通过方式管理。现有国产化超融合品牌技术型号为KVM规格，管理方式需要rest api方式融入现有核心云平台，支持云主机在线迁移，不更变硬件 ID</w:t>
            </w:r>
          </w:p>
          <w:p w14:paraId="23DA1C8E">
            <w:pPr>
              <w:jc w:val="left"/>
              <w:rPr>
                <w:rFonts w:ascii="宋体" w:hAnsi="宋体"/>
                <w:sz w:val="24"/>
              </w:rPr>
            </w:pPr>
            <w:r>
              <w:rPr>
                <w:rFonts w:hint="eastAsia" w:ascii="宋体" w:hAnsi="宋体"/>
                <w:sz w:val="24"/>
              </w:rPr>
              <w:t>2、支持无代理备份，不依赖于在虚拟机操作系统内部安装的任何插件或工具，不依赖于任何其他硬件设备上的功能，且备份过程中对虚拟机性能无影响。</w:t>
            </w:r>
          </w:p>
          <w:p w14:paraId="0186469C">
            <w:pPr>
              <w:jc w:val="left"/>
              <w:rPr>
                <w:rFonts w:ascii="宋体" w:hAnsi="宋体"/>
                <w:sz w:val="24"/>
              </w:rPr>
            </w:pPr>
            <w:r>
              <w:rPr>
                <w:rFonts w:hint="eastAsia" w:ascii="宋体" w:hAnsi="宋体"/>
                <w:sz w:val="24"/>
              </w:rPr>
              <w:t>3、支持采用异步方式将集群内的数据自动备份至其他超融合或目标站点上。在必要时，可以使用备份集群的数据对原始站点的保护对象进</w:t>
            </w:r>
            <w:r>
              <w:rPr>
                <w:rFonts w:hint="eastAsia" w:ascii="微软雅黑" w:hAnsi="微软雅黑" w:eastAsia="微软雅黑" w:cs="微软雅黑"/>
                <w:sz w:val="24"/>
              </w:rPr>
              <w:t>⾏</w:t>
            </w:r>
            <w:r>
              <w:rPr>
                <w:rFonts w:hint="eastAsia" w:ascii="宋体" w:hAnsi="宋体"/>
                <w:sz w:val="24"/>
              </w:rPr>
              <w:t>回滚操作，并且在原始数据所在站点崩溃时，可以迅速地从目标站点中利用最近的备份数据重建虚拟机。</w:t>
            </w:r>
          </w:p>
          <w:p w14:paraId="174F8C0A">
            <w:pPr>
              <w:jc w:val="left"/>
              <w:rPr>
                <w:rFonts w:ascii="宋体" w:hAnsi="宋体"/>
                <w:sz w:val="24"/>
              </w:rPr>
            </w:pPr>
            <w:r>
              <w:rPr>
                <w:rFonts w:hint="eastAsia" w:ascii="宋体" w:hAnsi="宋体"/>
                <w:sz w:val="24"/>
              </w:rPr>
              <w:t>4、支持自定义备份周期和备份窗口，最小 RPO 支持 15 分钟</w:t>
            </w:r>
          </w:p>
          <w:p w14:paraId="61BC2C68">
            <w:pPr>
              <w:jc w:val="left"/>
              <w:rPr>
                <w:rFonts w:ascii="宋体" w:hAnsi="宋体"/>
                <w:sz w:val="24"/>
              </w:rPr>
            </w:pPr>
            <w:r>
              <w:rPr>
                <w:rFonts w:hint="eastAsia" w:ascii="宋体" w:hAnsi="宋体"/>
                <w:sz w:val="24"/>
              </w:rPr>
              <w:t>5、支持对现有国产化超融合运行中的虚拟机创建文件系统一致性快照，保证缓存数据和磁盘数据的一致性，从而确保恢复后的虚拟机可以正常工作</w:t>
            </w:r>
          </w:p>
          <w:p w14:paraId="67C85F02">
            <w:pPr>
              <w:rPr>
                <w:rFonts w:ascii="宋体" w:hAnsi="宋体"/>
                <w:sz w:val="24"/>
              </w:rPr>
            </w:pPr>
            <w:r>
              <w:rPr>
                <w:rFonts w:hint="eastAsia" w:ascii="宋体" w:hAnsi="宋体"/>
                <w:sz w:val="24"/>
              </w:rPr>
              <w:t>流量可视化要求：</w:t>
            </w:r>
          </w:p>
          <w:p w14:paraId="0742EF5B">
            <w:pPr>
              <w:jc w:val="left"/>
              <w:rPr>
                <w:rFonts w:ascii="宋体" w:hAnsi="宋体"/>
                <w:sz w:val="24"/>
              </w:rPr>
            </w:pPr>
            <w:r>
              <w:rPr>
                <w:rFonts w:hint="eastAsia" w:ascii="宋体" w:hAnsi="宋体"/>
                <w:sz w:val="24"/>
              </w:rPr>
              <w:t>1、本次交付后现有国产化超融合计算、存储、网络、安全、容灾、备份完全融合，统一通过方式管理。现有国产化超融合品牌技术型号为KVM规格，管理方式需要rest api方式融入现有核心云平台，支持云主机在线迁移，不更变硬件 ID</w:t>
            </w:r>
          </w:p>
          <w:p w14:paraId="3D47FB80">
            <w:pPr>
              <w:jc w:val="left"/>
              <w:rPr>
                <w:rFonts w:hint="eastAsia" w:ascii="宋体" w:hAnsi="宋体"/>
                <w:sz w:val="24"/>
              </w:rPr>
            </w:pPr>
            <w:r>
              <w:rPr>
                <w:rFonts w:hint="eastAsia" w:ascii="宋体" w:hAnsi="宋体"/>
                <w:sz w:val="24"/>
              </w:rPr>
              <w:t>2、支持虚拟机东西南北向流量可视化，支持拓扑视图和表格视图，直观展示虚拟机网络、系统网络及外部 IP 地址间的数据流大小、方向、路径等详情信息，精确获取五元组详情，自动生成虚拟机之间流量关系的拓扑，并支持导出。</w:t>
            </w:r>
          </w:p>
        </w:tc>
      </w:tr>
      <w:tr w14:paraId="1226134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88" w:type="dxa"/>
            <w:vAlign w:val="center"/>
          </w:tcPr>
          <w:p w14:paraId="3B83D004">
            <w:pPr>
              <w:jc w:val="center"/>
              <w:rPr>
                <w:rFonts w:ascii="宋体" w:hAnsi="宋体" w:cs="仿宋"/>
                <w:color w:val="000000" w:themeColor="text1"/>
                <w:sz w:val="24"/>
                <w14:textFill>
                  <w14:solidFill>
                    <w14:schemeClr w14:val="tx1"/>
                  </w14:solidFill>
                </w14:textFill>
              </w:rPr>
            </w:pPr>
            <w:r>
              <w:rPr>
                <w:rFonts w:hint="eastAsia" w:ascii="宋体" w:hAnsi="宋体" w:cs="仿宋"/>
                <w:color w:val="000000" w:themeColor="text1"/>
                <w:sz w:val="24"/>
                <w14:textFill>
                  <w14:solidFill>
                    <w14:schemeClr w14:val="tx1"/>
                  </w14:solidFill>
                </w14:textFill>
              </w:rPr>
              <w:t>2</w:t>
            </w:r>
          </w:p>
        </w:tc>
        <w:tc>
          <w:tcPr>
            <w:tcW w:w="1701" w:type="dxa"/>
            <w:vAlign w:val="center"/>
          </w:tcPr>
          <w:p w14:paraId="4ACFEAF1">
            <w:pPr>
              <w:jc w:val="center"/>
              <w:rPr>
                <w:rFonts w:ascii="宋体" w:hAnsi="宋体" w:cs="仿宋"/>
                <w:color w:val="000000" w:themeColor="text1"/>
                <w:sz w:val="24"/>
                <w14:textFill>
                  <w14:solidFill>
                    <w14:schemeClr w14:val="tx1"/>
                  </w14:solidFill>
                </w14:textFill>
              </w:rPr>
            </w:pPr>
            <w:r>
              <w:rPr>
                <w:rFonts w:hint="eastAsia" w:ascii="宋体" w:hAnsi="宋体" w:cs="仿宋"/>
                <w:color w:val="000000" w:themeColor="text1"/>
                <w:sz w:val="24"/>
                <w14:textFill>
                  <w14:solidFill>
                    <w14:schemeClr w14:val="tx1"/>
                  </w14:solidFill>
                </w14:textFill>
              </w:rPr>
              <w:t>非实质性要求</w:t>
            </w:r>
          </w:p>
        </w:tc>
        <w:tc>
          <w:tcPr>
            <w:tcW w:w="5607" w:type="dxa"/>
          </w:tcPr>
          <w:p w14:paraId="2574EFF3">
            <w:pPr>
              <w:jc w:val="left"/>
              <w:rPr>
                <w:rFonts w:ascii="宋体" w:hAnsi="宋体"/>
                <w:sz w:val="24"/>
              </w:rPr>
            </w:pPr>
            <w:r>
              <w:rPr>
                <w:rFonts w:hint="eastAsia" w:ascii="宋体" w:hAnsi="宋体"/>
                <w:sz w:val="24"/>
              </w:rPr>
              <w:t>无</w:t>
            </w:r>
          </w:p>
        </w:tc>
      </w:tr>
    </w:tbl>
    <w:p w14:paraId="388BAEB7">
      <w:pPr>
        <w:spacing w:line="560" w:lineRule="exact"/>
        <w:ind w:firstLine="420" w:firstLineChars="200"/>
        <w:rPr>
          <w:rFonts w:ascii="宋体" w:hAnsi="宋体" w:cs="宋体"/>
          <w:color w:val="000000" w:themeColor="text1"/>
          <w:szCs w:val="21"/>
          <w14:textFill>
            <w14:solidFill>
              <w14:schemeClr w14:val="tx1"/>
            </w14:solidFill>
          </w14:textFill>
        </w:rPr>
      </w:pPr>
    </w:p>
    <w:p w14:paraId="4A430755">
      <w:pPr>
        <w:spacing w:line="560" w:lineRule="exact"/>
        <w:ind w:firstLine="420" w:firstLineChars="200"/>
        <w:rPr>
          <w:rFonts w:ascii="宋体" w:hAnsi="宋体" w:cs="宋体"/>
          <w:color w:val="000000" w:themeColor="text1"/>
          <w:szCs w:val="21"/>
          <w14:textFill>
            <w14:solidFill>
              <w14:schemeClr w14:val="tx1"/>
            </w14:solidFill>
          </w14:textFill>
        </w:rPr>
      </w:pPr>
    </w:p>
    <w:p w14:paraId="2A43B913">
      <w:pPr>
        <w:widowControl/>
        <w:jc w:val="left"/>
        <w:rPr>
          <w:rFonts w:ascii="宋体" w:hAnsi="宋体"/>
          <w:b/>
          <w:bCs/>
          <w:color w:val="000000"/>
          <w:sz w:val="28"/>
          <w:szCs w:val="28"/>
        </w:rPr>
      </w:pPr>
      <w:r>
        <w:rPr>
          <w:rFonts w:ascii="宋体" w:hAnsi="宋体"/>
          <w:b/>
          <w:bCs/>
          <w:color w:val="000000"/>
          <w:sz w:val="28"/>
          <w:szCs w:val="28"/>
        </w:rPr>
        <w:br w:type="page"/>
      </w:r>
    </w:p>
    <w:p w14:paraId="746B3E5B">
      <w:pPr>
        <w:spacing w:line="360" w:lineRule="auto"/>
        <w:rPr>
          <w:rFonts w:ascii="宋体" w:hAnsi="宋体"/>
          <w:b/>
          <w:bCs/>
          <w:color w:val="000000"/>
          <w:sz w:val="28"/>
          <w:szCs w:val="28"/>
        </w:rPr>
      </w:pPr>
      <w:r>
        <w:rPr>
          <w:rFonts w:hint="eastAsia" w:ascii="宋体" w:hAnsi="宋体"/>
          <w:b/>
          <w:bCs/>
          <w:color w:val="000000"/>
          <w:sz w:val="28"/>
          <w:szCs w:val="28"/>
        </w:rPr>
        <w:t>三、商务要求：</w:t>
      </w:r>
    </w:p>
    <w:p w14:paraId="74560F08">
      <w:pPr>
        <w:spacing w:line="360" w:lineRule="auto"/>
        <w:ind w:firstLine="48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1、本系统中软硬件技术支持需要投标人在项目验收合格后免费技术支持3年，调研方应在供应实施当地（市级）设立技术支持和售后服务机构，并有足够的人员来保证技术支持和售后服务。调研方须提供7*24小时的技术支持和免费的上门维护升级服务。</w:t>
      </w:r>
    </w:p>
    <w:p w14:paraId="301F21BF">
      <w:pPr>
        <w:spacing w:line="360" w:lineRule="auto"/>
        <w:ind w:firstLine="48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故障级别定义及解决时间要求如下：</w:t>
      </w:r>
    </w:p>
    <w:tbl>
      <w:tblPr>
        <w:tblStyle w:val="5"/>
        <w:tblW w:w="8623"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2002"/>
        <w:gridCol w:w="1418"/>
        <w:gridCol w:w="1234"/>
        <w:gridCol w:w="1418"/>
        <w:gridCol w:w="1294"/>
        <w:gridCol w:w="1257"/>
      </w:tblGrid>
      <w:tr w14:paraId="7744D0B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02" w:type="dxa"/>
          </w:tcPr>
          <w:p w14:paraId="506BE98F">
            <w:pPr>
              <w:jc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故障级别</w:t>
            </w:r>
          </w:p>
        </w:tc>
        <w:tc>
          <w:tcPr>
            <w:tcW w:w="1418" w:type="dxa"/>
          </w:tcPr>
          <w:p w14:paraId="74A273F6">
            <w:pPr>
              <w:jc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技术人员到场时间</w:t>
            </w:r>
          </w:p>
        </w:tc>
        <w:tc>
          <w:tcPr>
            <w:tcW w:w="1234" w:type="dxa"/>
          </w:tcPr>
          <w:p w14:paraId="4D462707">
            <w:pPr>
              <w:jc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提出解决方案</w:t>
            </w:r>
          </w:p>
        </w:tc>
        <w:tc>
          <w:tcPr>
            <w:tcW w:w="1418" w:type="dxa"/>
          </w:tcPr>
          <w:p w14:paraId="623D925B">
            <w:pPr>
              <w:jc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备件到场时间</w:t>
            </w:r>
          </w:p>
        </w:tc>
        <w:tc>
          <w:tcPr>
            <w:tcW w:w="1294" w:type="dxa"/>
          </w:tcPr>
          <w:p w14:paraId="48F706AF">
            <w:pPr>
              <w:jc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解决时间</w:t>
            </w:r>
          </w:p>
        </w:tc>
        <w:tc>
          <w:tcPr>
            <w:tcW w:w="1257" w:type="dxa"/>
          </w:tcPr>
          <w:p w14:paraId="1EAD6B18">
            <w:pPr>
              <w:jc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其他</w:t>
            </w:r>
          </w:p>
        </w:tc>
      </w:tr>
      <w:tr w14:paraId="594A769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30" w:hRule="atLeast"/>
          <w:jc w:val="center"/>
        </w:trPr>
        <w:tc>
          <w:tcPr>
            <w:tcW w:w="2002" w:type="dxa"/>
          </w:tcPr>
          <w:p w14:paraId="7C281F4F">
            <w:pP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Ⅰ级：属于重特大故障</w:t>
            </w:r>
            <w:r>
              <w:rPr>
                <w:rFonts w:hint="eastAsia" w:ascii="宋体" w:hAnsi="宋体" w:cs="宋体"/>
                <w:bCs/>
                <w:color w:val="000000" w:themeColor="text1"/>
                <w:szCs w:val="21"/>
                <w14:textFill>
                  <w14:solidFill>
                    <w14:schemeClr w14:val="tx1"/>
                  </w14:solidFill>
                </w14:textFill>
              </w:rPr>
              <w:t>或系统存在重大安全隐患的情况下</w:t>
            </w:r>
            <w:r>
              <w:rPr>
                <w:rFonts w:hint="eastAsia" w:ascii="宋体" w:hAnsi="宋体" w:cs="宋体"/>
                <w:color w:val="000000" w:themeColor="text1"/>
                <w:szCs w:val="21"/>
                <w14:textFill>
                  <w14:solidFill>
                    <w14:schemeClr w14:val="tx1"/>
                  </w14:solidFill>
                </w14:textFill>
              </w:rPr>
              <w:t>。</w:t>
            </w:r>
          </w:p>
        </w:tc>
        <w:tc>
          <w:tcPr>
            <w:tcW w:w="1418" w:type="dxa"/>
          </w:tcPr>
          <w:p w14:paraId="4321548F">
            <w:pP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接报30分钟以内到现场</w:t>
            </w:r>
          </w:p>
        </w:tc>
        <w:tc>
          <w:tcPr>
            <w:tcW w:w="1234" w:type="dxa"/>
          </w:tcPr>
          <w:p w14:paraId="61E4F581">
            <w:pP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到现场后1小时内提交故障解决方案</w:t>
            </w:r>
          </w:p>
        </w:tc>
        <w:tc>
          <w:tcPr>
            <w:tcW w:w="1418" w:type="dxa"/>
          </w:tcPr>
          <w:p w14:paraId="09CC3A5C">
            <w:pP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提出解决方案后1小时到现场</w:t>
            </w:r>
          </w:p>
        </w:tc>
        <w:tc>
          <w:tcPr>
            <w:tcW w:w="1294" w:type="dxa"/>
          </w:tcPr>
          <w:p w14:paraId="0393EB1F">
            <w:pP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接报3小时以内</w:t>
            </w:r>
          </w:p>
        </w:tc>
        <w:tc>
          <w:tcPr>
            <w:tcW w:w="1257" w:type="dxa"/>
            <w:vMerge w:val="restart"/>
          </w:tcPr>
          <w:p w14:paraId="3CCAFD91">
            <w:pP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特殊情况，电话通知或下发《紧急维修通知单》，3小时内必须修复。</w:t>
            </w:r>
          </w:p>
        </w:tc>
      </w:tr>
      <w:tr w14:paraId="1A5DD54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02" w:type="dxa"/>
          </w:tcPr>
          <w:p w14:paraId="737B4BC4">
            <w:pP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Ⅱ级：属于严重问题：其具体现象为：部分服务器系统发生故障、或小面积瘫痪但不影响系统整体运行。</w:t>
            </w:r>
          </w:p>
        </w:tc>
        <w:tc>
          <w:tcPr>
            <w:tcW w:w="1418" w:type="dxa"/>
          </w:tcPr>
          <w:p w14:paraId="7CCFAB82">
            <w:pP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接报30分钟以内到现场</w:t>
            </w:r>
          </w:p>
        </w:tc>
        <w:tc>
          <w:tcPr>
            <w:tcW w:w="1234" w:type="dxa"/>
          </w:tcPr>
          <w:p w14:paraId="4DE64A26">
            <w:pP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到现场后1小时内提交故障解决方案</w:t>
            </w:r>
          </w:p>
        </w:tc>
        <w:tc>
          <w:tcPr>
            <w:tcW w:w="1418" w:type="dxa"/>
          </w:tcPr>
          <w:p w14:paraId="10AA7E53">
            <w:pP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提出解决方案后1小时到现场</w:t>
            </w:r>
          </w:p>
        </w:tc>
        <w:tc>
          <w:tcPr>
            <w:tcW w:w="1294" w:type="dxa"/>
          </w:tcPr>
          <w:p w14:paraId="33E63872">
            <w:pP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接报6小时以内</w:t>
            </w:r>
          </w:p>
        </w:tc>
        <w:tc>
          <w:tcPr>
            <w:tcW w:w="1257" w:type="dxa"/>
            <w:vMerge w:val="continue"/>
          </w:tcPr>
          <w:p w14:paraId="53DE0AD5">
            <w:pPr>
              <w:rPr>
                <w:rFonts w:ascii="宋体" w:hAnsi="宋体" w:cs="宋体"/>
                <w:color w:val="000000"/>
                <w:szCs w:val="21"/>
              </w:rPr>
            </w:pPr>
          </w:p>
        </w:tc>
      </w:tr>
      <w:tr w14:paraId="0161BEE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02" w:type="dxa"/>
          </w:tcPr>
          <w:p w14:paraId="4D6F1415">
            <w:pP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Ⅲ级：属于普通问题：其具体现象为：服务器、存储硬盘故障，交换机单点故障，服务故障。</w:t>
            </w:r>
          </w:p>
        </w:tc>
        <w:tc>
          <w:tcPr>
            <w:tcW w:w="1418" w:type="dxa"/>
          </w:tcPr>
          <w:p w14:paraId="2B1173F8">
            <w:pP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接报2小时内到现场</w:t>
            </w:r>
          </w:p>
        </w:tc>
        <w:tc>
          <w:tcPr>
            <w:tcW w:w="1234" w:type="dxa"/>
          </w:tcPr>
          <w:p w14:paraId="03660A40">
            <w:pP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即时提交或到现场后1小时内提交解决方案</w:t>
            </w:r>
          </w:p>
        </w:tc>
        <w:tc>
          <w:tcPr>
            <w:tcW w:w="1418" w:type="dxa"/>
          </w:tcPr>
          <w:p w14:paraId="61D68FBF">
            <w:pP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视情况而定</w:t>
            </w:r>
          </w:p>
        </w:tc>
        <w:tc>
          <w:tcPr>
            <w:tcW w:w="1294" w:type="dxa"/>
          </w:tcPr>
          <w:p w14:paraId="2F18D923">
            <w:pP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接报12小时以内</w:t>
            </w:r>
          </w:p>
        </w:tc>
        <w:tc>
          <w:tcPr>
            <w:tcW w:w="1257" w:type="dxa"/>
            <w:vMerge w:val="continue"/>
          </w:tcPr>
          <w:p w14:paraId="23A3D0A9">
            <w:pPr>
              <w:rPr>
                <w:rFonts w:ascii="宋体" w:hAnsi="宋体" w:cs="宋体"/>
                <w:color w:val="000000"/>
                <w:szCs w:val="21"/>
              </w:rPr>
            </w:pPr>
          </w:p>
        </w:tc>
      </w:tr>
    </w:tbl>
    <w:p w14:paraId="661D0D27">
      <w:pPr>
        <w:spacing w:line="560" w:lineRule="exact"/>
        <w:ind w:firstLine="420" w:firstLineChars="200"/>
        <w:rPr>
          <w:rFonts w:ascii="宋体" w:hAnsi="宋体"/>
          <w:color w:val="000000"/>
          <w:szCs w:val="21"/>
        </w:rPr>
      </w:pPr>
      <w:r>
        <w:rPr>
          <w:rFonts w:hint="eastAsia" w:ascii="宋体" w:hAnsi="宋体" w:cs="宋体"/>
          <w:color w:val="000000" w:themeColor="text1"/>
          <w:szCs w:val="21"/>
          <w14:textFill>
            <w14:solidFill>
              <w14:schemeClr w14:val="tx1"/>
            </w14:solidFill>
          </w14:textFill>
        </w:rPr>
        <w:t>2、培训要求：项目实施结束后，在接到采购人培训指令时，应在采购人规定的时间到达培训地点，对采购人相关管理人员进行免费现场培训</w:t>
      </w:r>
      <w:r>
        <w:rPr>
          <w:rFonts w:ascii="宋体" w:hAnsi="宋体" w:cs="宋体"/>
          <w:color w:val="000000" w:themeColor="text1"/>
          <w:szCs w:val="21"/>
          <w14:textFill>
            <w14:solidFill>
              <w14:schemeClr w14:val="tx1"/>
            </w14:solidFill>
          </w14:textFill>
        </w:rPr>
        <w:t>,</w:t>
      </w:r>
      <w:r>
        <w:rPr>
          <w:rFonts w:hint="eastAsia" w:ascii="宋体" w:hAnsi="宋体" w:cs="宋体"/>
          <w:color w:val="000000" w:themeColor="text1"/>
          <w:szCs w:val="21"/>
          <w14:textFill>
            <w14:solidFill>
              <w14:schemeClr w14:val="tx1"/>
            </w14:solidFill>
          </w14:textFill>
        </w:rPr>
        <w:t>提供不少于3人/天的培训，采购人经过培训后，应能熟练掌握使用方法，独立完成日常的维护工作，掌握日常运行情况并能及时了解并排除大部分的日常故障。</w:t>
      </w:r>
    </w:p>
    <w:p w14:paraId="4013F0CB">
      <w:pPr>
        <w:spacing w:line="560" w:lineRule="exact"/>
        <w:ind w:firstLine="420" w:firstLineChars="200"/>
        <w:rPr>
          <w:rFonts w:ascii="宋体" w:hAnsi="宋体"/>
          <w:color w:val="000000"/>
          <w:szCs w:val="21"/>
        </w:rPr>
      </w:pPr>
      <w:r>
        <w:rPr>
          <w:rFonts w:hint="eastAsia" w:ascii="宋体" w:hAnsi="宋体"/>
          <w:color w:val="000000"/>
          <w:szCs w:val="21"/>
        </w:rPr>
        <w:t>3、</w:t>
      </w:r>
      <w:r>
        <w:rPr>
          <w:rFonts w:hint="eastAsia" w:ascii="宋体" w:hAnsi="宋体" w:cs="宋体"/>
          <w:color w:val="000000" w:themeColor="text1"/>
          <w:szCs w:val="21"/>
          <w14:textFill>
            <w14:solidFill>
              <w14:schemeClr w14:val="tx1"/>
            </w14:solidFill>
          </w14:textFill>
        </w:rPr>
        <w:t>调研方</w:t>
      </w:r>
      <w:r>
        <w:rPr>
          <w:rFonts w:hint="eastAsia" w:ascii="宋体" w:hAnsi="宋体"/>
          <w:color w:val="000000"/>
          <w:szCs w:val="21"/>
        </w:rPr>
        <w:t>必须是生产厂家或取得厂家授权的代理商，调研时代理商需提供原厂针对此项目的授权函；</w:t>
      </w:r>
    </w:p>
    <w:p w14:paraId="12C05630">
      <w:pPr>
        <w:spacing w:line="360" w:lineRule="auto"/>
        <w:rPr>
          <w:rFonts w:ascii="宋体" w:hAnsi="宋体"/>
          <w:b/>
          <w:bCs/>
          <w:color w:val="000000"/>
          <w:sz w:val="28"/>
          <w:szCs w:val="28"/>
        </w:rPr>
      </w:pPr>
      <w:r>
        <w:rPr>
          <w:rFonts w:hint="eastAsia" w:ascii="宋体" w:hAnsi="宋体"/>
          <w:b/>
          <w:bCs/>
          <w:color w:val="000000"/>
          <w:sz w:val="28"/>
          <w:szCs w:val="28"/>
        </w:rPr>
        <w:t>四、服务要求</w:t>
      </w:r>
    </w:p>
    <w:p w14:paraId="6D5F9959">
      <w:pPr>
        <w:spacing w:line="560" w:lineRule="exact"/>
        <w:ind w:firstLine="420" w:firstLineChars="200"/>
        <w:rPr>
          <w:rFonts w:ascii="宋体" w:hAnsi="宋体"/>
          <w:color w:val="000000"/>
          <w:szCs w:val="21"/>
        </w:rPr>
      </w:pPr>
      <w:r>
        <w:rPr>
          <w:rFonts w:hint="eastAsia" w:ascii="宋体" w:hAnsi="宋体"/>
          <w:color w:val="000000"/>
          <w:szCs w:val="21"/>
        </w:rPr>
        <w:t>1、质保期：供应商报价时须承诺所供货物的免费质保期为三年（自验收报告签字确认日起，开始进入质保期）。</w:t>
      </w:r>
    </w:p>
    <w:p w14:paraId="2C61EFD8">
      <w:pPr>
        <w:spacing w:line="560" w:lineRule="exact"/>
        <w:ind w:firstLine="420" w:firstLineChars="200"/>
        <w:rPr>
          <w:rFonts w:ascii="宋体" w:hAnsi="宋体"/>
          <w:color w:val="000000"/>
          <w:szCs w:val="21"/>
        </w:rPr>
      </w:pPr>
      <w:r>
        <w:rPr>
          <w:rFonts w:hint="eastAsia" w:ascii="宋体" w:hAnsi="宋体"/>
          <w:color w:val="000000"/>
          <w:szCs w:val="21"/>
        </w:rPr>
        <w:t>2、服务响应时间：在接到服务请求1个小时内到达现场进行服务及保障。</w:t>
      </w:r>
    </w:p>
    <w:p w14:paraId="27B9E45A">
      <w:pPr>
        <w:spacing w:line="360" w:lineRule="auto"/>
        <w:rPr>
          <w:rFonts w:ascii="宋体" w:hAnsi="宋体"/>
          <w:b/>
          <w:bCs/>
          <w:color w:val="000000"/>
          <w:sz w:val="28"/>
          <w:szCs w:val="28"/>
        </w:rPr>
      </w:pPr>
      <w:r>
        <w:rPr>
          <w:rFonts w:hint="eastAsia" w:ascii="宋体" w:hAnsi="宋体"/>
          <w:b/>
          <w:bCs/>
          <w:color w:val="000000"/>
          <w:sz w:val="28"/>
          <w:szCs w:val="28"/>
        </w:rPr>
        <w:t>五、项目实施要求</w:t>
      </w:r>
    </w:p>
    <w:p w14:paraId="0C6CFDA1">
      <w:pPr>
        <w:spacing w:line="560" w:lineRule="exact"/>
        <w:ind w:firstLine="420" w:firstLineChars="200"/>
        <w:rPr>
          <w:rFonts w:ascii="宋体" w:hAnsi="宋体" w:cs="仿宋_GB2312"/>
          <w:color w:val="000000"/>
          <w:szCs w:val="21"/>
        </w:rPr>
      </w:pPr>
      <w:r>
        <w:rPr>
          <w:rFonts w:hint="eastAsia" w:ascii="宋体" w:hAnsi="宋体" w:cs="仿宋_GB2312"/>
          <w:color w:val="000000"/>
          <w:szCs w:val="21"/>
        </w:rPr>
        <w:t>项目实施时间：签订合同之日起1个月内。</w:t>
      </w:r>
    </w:p>
    <w:bookmarkEnd w:id="0"/>
    <w:p w14:paraId="006FDD93">
      <w:pPr>
        <w:spacing w:line="360" w:lineRule="auto"/>
        <w:rPr>
          <w:rFonts w:ascii="宋体" w:hAnsi="宋体"/>
          <w:b/>
          <w:bCs/>
          <w:color w:val="000000"/>
          <w:sz w:val="28"/>
          <w:szCs w:val="28"/>
        </w:rPr>
      </w:pPr>
      <w:r>
        <w:rPr>
          <w:rFonts w:hint="eastAsia" w:ascii="宋体" w:hAnsi="宋体"/>
          <w:b/>
          <w:bCs/>
          <w:color w:val="000000"/>
          <w:sz w:val="28"/>
          <w:szCs w:val="28"/>
        </w:rPr>
        <w:t>六、现场调研</w:t>
      </w:r>
    </w:p>
    <w:p w14:paraId="251A83F3">
      <w:pPr>
        <w:rPr>
          <w:sz w:val="18"/>
          <w:szCs w:val="21"/>
        </w:rPr>
      </w:pPr>
    </w:p>
    <w:p w14:paraId="0F2CCB36">
      <w:pPr>
        <w:spacing w:line="560" w:lineRule="exact"/>
        <w:ind w:firstLine="420" w:firstLineChars="200"/>
        <w:rPr>
          <w:rFonts w:ascii="宋体" w:hAnsi="宋体" w:cs="仿宋_GB2312"/>
          <w:color w:val="000000"/>
          <w:szCs w:val="21"/>
        </w:rPr>
      </w:pPr>
      <w:r>
        <w:rPr>
          <w:rFonts w:hint="eastAsia" w:ascii="宋体" w:hAnsi="宋体" w:cs="仿宋_GB2312"/>
          <w:color w:val="000000"/>
          <w:szCs w:val="21"/>
        </w:rPr>
        <w:t>项目具体情况请查看现场，联系电话：唐工 13222777718。</w:t>
      </w:r>
    </w:p>
    <w:p w14:paraId="4A7EE64A"/>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B0604020202020204"/>
    <w:charset w:val="00"/>
    <w:family w:val="auto"/>
    <w:pitch w:val="default"/>
    <w:sig w:usb0="00000000" w:usb1="00000000" w:usb2="00000000" w:usb3="00000000" w:csb0="00000000"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swiss"/>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4"/>
  <w:embedSystem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TM4NTY2ZTUwZDFiNGIwMTQyY2QwNjkxYTlmY2E0NzYifQ=="/>
  </w:docVars>
  <w:rsids>
    <w:rsidRoot w:val="61F8231B"/>
    <w:rsid w:val="00153E52"/>
    <w:rsid w:val="001C6C1E"/>
    <w:rsid w:val="001F0D6B"/>
    <w:rsid w:val="002D7264"/>
    <w:rsid w:val="00307648"/>
    <w:rsid w:val="00434C87"/>
    <w:rsid w:val="004658FB"/>
    <w:rsid w:val="00515DD5"/>
    <w:rsid w:val="006D5B23"/>
    <w:rsid w:val="00990541"/>
    <w:rsid w:val="00995DB4"/>
    <w:rsid w:val="00A12848"/>
    <w:rsid w:val="00AC58F9"/>
    <w:rsid w:val="00BF7960"/>
    <w:rsid w:val="00C45DB4"/>
    <w:rsid w:val="00C81676"/>
    <w:rsid w:val="00CE41D6"/>
    <w:rsid w:val="00CE6707"/>
    <w:rsid w:val="00D86D11"/>
    <w:rsid w:val="00E73E82"/>
    <w:rsid w:val="00E85750"/>
    <w:rsid w:val="00F62D1B"/>
    <w:rsid w:val="27AE7C73"/>
    <w:rsid w:val="3EED6DCB"/>
    <w:rsid w:val="43D73020"/>
    <w:rsid w:val="50E56BC4"/>
    <w:rsid w:val="61F8231B"/>
    <w:rsid w:val="7FFF9187"/>
    <w:rsid w:val="DFFFCFE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1" w:semiHidden="0" w:name="heading 2"/>
    <w:lsdException w:qFormat="1" w:uiPriority="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3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qFormat/>
    <w:uiPriority w:val="0"/>
    <w:pPr>
      <w:keepNext/>
      <w:keepLines/>
      <w:spacing w:before="340" w:after="330" w:line="576" w:lineRule="auto"/>
      <w:outlineLvl w:val="0"/>
    </w:pPr>
    <w:rPr>
      <w:b/>
      <w:bCs/>
      <w:kern w:val="44"/>
      <w:sz w:val="44"/>
      <w:szCs w:val="44"/>
    </w:rPr>
  </w:style>
  <w:style w:type="paragraph" w:styleId="2">
    <w:name w:val="heading 2"/>
    <w:basedOn w:val="1"/>
    <w:next w:val="1"/>
    <w:qFormat/>
    <w:uiPriority w:val="1"/>
    <w:pPr>
      <w:spacing w:before="100" w:beforeAutospacing="1" w:after="100" w:afterAutospacing="1"/>
      <w:jc w:val="left"/>
      <w:outlineLvl w:val="1"/>
    </w:pPr>
    <w:rPr>
      <w:rFonts w:hint="eastAsia" w:ascii="宋体" w:hAnsi="宋体"/>
      <w:b/>
      <w:kern w:val="0"/>
      <w:sz w:val="36"/>
      <w:szCs w:val="36"/>
    </w:rPr>
  </w:style>
  <w:style w:type="paragraph" w:styleId="4">
    <w:name w:val="heading 4"/>
    <w:basedOn w:val="1"/>
    <w:next w:val="1"/>
    <w:qFormat/>
    <w:uiPriority w:val="0"/>
    <w:pPr>
      <w:keepNext/>
      <w:keepLines/>
      <w:spacing w:before="120" w:after="120"/>
      <w:outlineLvl w:val="3"/>
    </w:pPr>
    <w:rPr>
      <w:rFonts w:ascii="Arial" w:hAnsi="Arial" w:eastAsia="黑体"/>
      <w:b/>
      <w:sz w:val="28"/>
      <w:szCs w:val="20"/>
    </w:rPr>
  </w:style>
  <w:style w:type="character" w:default="1" w:styleId="7">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table" w:styleId="6">
    <w:name w:val="Table Grid"/>
    <w:basedOn w:val="5"/>
    <w:qFormat/>
    <w:uiPriority w:val="39"/>
    <w:rPr>
      <w:rFonts w:ascii="Calibri" w:hAnsi="Calibri"/>
      <w:kern w:val="2"/>
      <w:sz w:val="21"/>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8">
    <w:name w:val="正文 New"/>
    <w:qFormat/>
    <w:uiPriority w:val="0"/>
    <w:pPr>
      <w:widowControl w:val="0"/>
      <w:jc w:val="both"/>
    </w:pPr>
    <w:rPr>
      <w:rFonts w:ascii="Times New Roman" w:hAnsi="Times New Roman" w:eastAsia="宋体" w:cs="Times New Roman"/>
      <w:szCs w:val="24"/>
      <w:lang w:val="en-US" w:eastAsia="zh-CN" w:bidi="ar-SA"/>
    </w:rPr>
  </w:style>
  <w:style w:type="paragraph" w:styleId="9">
    <w:name w:val="List Paragraph"/>
    <w:basedOn w:val="1"/>
    <w:unhideWhenUsed/>
    <w:uiPriority w:val="99"/>
    <w:pPr>
      <w:ind w:firstLine="420" w:firstLineChars="200"/>
    </w:p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2919</Words>
  <Characters>3012</Characters>
  <Lines>22</Lines>
  <Paragraphs>6</Paragraphs>
  <TotalTime>6</TotalTime>
  <ScaleCrop>false</ScaleCrop>
  <LinksUpToDate>false</LinksUpToDate>
  <CharactersWithSpaces>3044</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2025-11-26T12:10:00Z</dcterms:created>
  <dc:creator>施吉利</dc:creator>
  <cp:lastModifiedBy>唐老鸭</cp:lastModifiedBy>
  <dcterms:modified xsi:type="dcterms:W3CDTF">2025-12-01T07:12:41Z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DEDD5E00F097447F91C5648D7B0CF783_13</vt:lpwstr>
  </property>
  <property fmtid="{D5CDD505-2E9C-101B-9397-08002B2CF9AE}" pid="4" name="KSOTemplateDocerSaveRecord">
    <vt:lpwstr>eyJoZGlkIjoiZjM3MWFmM2NkNGVmMjIxOGIzMDAxNzI2NjcxYmQ5OWMiLCJ1c2VySWQiOiIzOTM2OTYwMTgifQ==</vt:lpwstr>
  </property>
</Properties>
</file>