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A0F7E">
      <w:pPr>
        <w:jc w:val="center"/>
        <w:rPr>
          <w:rFonts w:hint="eastAsia"/>
          <w:b/>
          <w:sz w:val="52"/>
          <w:szCs w:val="52"/>
        </w:rPr>
      </w:pPr>
      <w:r>
        <w:rPr>
          <w:rFonts w:hint="eastAsia"/>
          <w:b/>
          <w:sz w:val="52"/>
          <w:szCs w:val="52"/>
        </w:rPr>
        <w:t>江苏省第二中医院</w:t>
      </w:r>
    </w:p>
    <w:p w14:paraId="32914864">
      <w:pPr>
        <w:jc w:val="center"/>
        <w:rPr>
          <w:rFonts w:hint="eastAsia"/>
          <w:sz w:val="32"/>
          <w:szCs w:val="32"/>
        </w:rPr>
      </w:pPr>
      <w:r>
        <w:rPr>
          <w:rFonts w:hint="eastAsia"/>
          <w:sz w:val="32"/>
          <w:szCs w:val="32"/>
        </w:rPr>
        <w:t>数据安全分级分类项目</w:t>
      </w:r>
    </w:p>
    <w:p w14:paraId="0A92E24C">
      <w:pPr>
        <w:jc w:val="center"/>
        <w:rPr>
          <w:rFonts w:hint="eastAsia"/>
          <w:sz w:val="32"/>
          <w:szCs w:val="32"/>
        </w:rPr>
      </w:pPr>
      <w:r>
        <w:rPr>
          <w:rFonts w:hint="eastAsia"/>
          <w:sz w:val="32"/>
          <w:szCs w:val="32"/>
        </w:rPr>
        <w:t>调研要求</w:t>
      </w:r>
    </w:p>
    <w:p w14:paraId="40003967">
      <w:pPr>
        <w:pStyle w:val="2"/>
        <w:numPr>
          <w:ilvl w:val="0"/>
          <w:numId w:val="1"/>
        </w:numPr>
        <w:rPr>
          <w:rFonts w:hint="eastAsia"/>
        </w:rPr>
      </w:pPr>
      <w:r>
        <w:rPr>
          <w:rFonts w:hint="eastAsia"/>
        </w:rPr>
        <w:t>概述</w:t>
      </w:r>
    </w:p>
    <w:p w14:paraId="63A6FC4F">
      <w:pPr>
        <w:pStyle w:val="3"/>
        <w:numPr>
          <w:ilvl w:val="1"/>
          <w:numId w:val="2"/>
        </w:numPr>
        <w:rPr>
          <w:rFonts w:hint="eastAsia"/>
        </w:rPr>
      </w:pPr>
      <w:r>
        <w:rPr>
          <w:rFonts w:hint="eastAsia"/>
        </w:rPr>
        <w:t>背景</w:t>
      </w:r>
    </w:p>
    <w:p w14:paraId="182A3F03">
      <w:pPr>
        <w:spacing w:line="360" w:lineRule="auto"/>
        <w:ind w:firstLine="420" w:firstLineChars="200"/>
        <w:rPr>
          <w:rFonts w:hint="eastAsia"/>
        </w:rPr>
      </w:pPr>
      <w:r>
        <w:rPr>
          <w:rFonts w:hint="eastAsia"/>
        </w:rPr>
        <w:t>我院在实际运行过程中发现，临床数据都是各个科室、系统收集的，数据之间的关联不清晰，加上相关应用系统所涉及的厂商也比较多，因此需要对数据之间的关系进行梳理，确立不同字段、不同表格之间的数据关系。并且需对于梳理出的数据资产，通过工具自动获取数据元数据信息，通过多维度的数据特征定义数据标签，形成数据画像，解析数据含义，分析数据业务类型。</w:t>
      </w:r>
    </w:p>
    <w:p w14:paraId="27C0278A">
      <w:pPr>
        <w:spacing w:line="360" w:lineRule="auto"/>
        <w:ind w:firstLine="420" w:firstLineChars="200"/>
        <w:rPr>
          <w:rFonts w:hint="eastAsia"/>
        </w:rPr>
      </w:pPr>
      <w:r>
        <w:rPr>
          <w:rFonts w:hint="eastAsia"/>
        </w:rPr>
        <w:t>如果采用传统的“一刀切”的方式保护数据资产，则会形成对数据资源过度保护的局面，不利于共享交换和大数据应用，以及数据价值的释放，因此需要对数据进行分类分级保护，实现数据安全保护与数据价值释放的平衡。而对于数据进行分类分级，是实现差异化防护的前提。</w:t>
      </w:r>
    </w:p>
    <w:p w14:paraId="11B99D9F">
      <w:pPr>
        <w:spacing w:line="360" w:lineRule="auto"/>
        <w:ind w:firstLine="420" w:firstLineChars="200"/>
        <w:rPr>
          <w:rFonts w:hint="eastAsia"/>
        </w:rPr>
      </w:pPr>
      <w:r>
        <w:rPr>
          <w:rFonts w:hint="eastAsia"/>
        </w:rPr>
        <w:t>基于前面识别出的数据资产，按照业务属性等进行分类，按照数据重要程度等进行分级，通过工具为主、人工为辅的方式对数据进行分类分级，最终得出数据分类分级结果。最终在提高数据安全的前提下，能够更好的保障我院业务的健康发展。</w:t>
      </w:r>
    </w:p>
    <w:p w14:paraId="18E090FD">
      <w:pPr>
        <w:pStyle w:val="3"/>
        <w:numPr>
          <w:ilvl w:val="1"/>
          <w:numId w:val="2"/>
        </w:numPr>
        <w:rPr>
          <w:rFonts w:hint="eastAsia"/>
        </w:rPr>
      </w:pPr>
      <w:r>
        <w:rPr>
          <w:rFonts w:hint="eastAsia"/>
        </w:rPr>
        <w:t>建设依据</w:t>
      </w:r>
    </w:p>
    <w:p w14:paraId="7A270489">
      <w:pPr>
        <w:pStyle w:val="13"/>
        <w:numPr>
          <w:ilvl w:val="0"/>
          <w:numId w:val="3"/>
        </w:numPr>
        <w:spacing w:line="360" w:lineRule="auto"/>
        <w:ind w:firstLineChars="0"/>
        <w:rPr>
          <w:rFonts w:hint="eastAsia"/>
        </w:rPr>
      </w:pPr>
      <w:r>
        <w:rPr>
          <w:rFonts w:hint="eastAsia"/>
        </w:rPr>
        <w:t>《中华人民共和国网络安全法》</w:t>
      </w:r>
    </w:p>
    <w:p w14:paraId="45E5F8AD">
      <w:pPr>
        <w:pStyle w:val="13"/>
        <w:numPr>
          <w:ilvl w:val="0"/>
          <w:numId w:val="3"/>
        </w:numPr>
        <w:spacing w:line="360" w:lineRule="auto"/>
        <w:ind w:firstLineChars="0"/>
        <w:rPr>
          <w:rFonts w:hint="eastAsia"/>
        </w:rPr>
      </w:pPr>
      <w:r>
        <w:rPr>
          <w:rFonts w:hint="eastAsia"/>
        </w:rPr>
        <w:t>《中华人民共和国数据安全法》</w:t>
      </w:r>
    </w:p>
    <w:p w14:paraId="2281D6E5">
      <w:pPr>
        <w:pStyle w:val="13"/>
        <w:numPr>
          <w:ilvl w:val="0"/>
          <w:numId w:val="3"/>
        </w:numPr>
        <w:spacing w:line="360" w:lineRule="auto"/>
        <w:ind w:firstLineChars="0"/>
        <w:rPr>
          <w:rFonts w:hint="eastAsia"/>
        </w:rPr>
      </w:pPr>
      <w:r>
        <w:rPr>
          <w:rFonts w:hint="eastAsia"/>
        </w:rPr>
        <w:t>《个人信息保护法》</w:t>
      </w:r>
    </w:p>
    <w:p w14:paraId="6A1DE50F">
      <w:pPr>
        <w:pStyle w:val="13"/>
        <w:numPr>
          <w:ilvl w:val="0"/>
          <w:numId w:val="3"/>
        </w:numPr>
        <w:spacing w:line="360" w:lineRule="auto"/>
        <w:ind w:firstLineChars="0"/>
        <w:rPr>
          <w:rFonts w:hint="eastAsia"/>
        </w:rPr>
      </w:pPr>
      <w:r>
        <w:rPr>
          <w:rFonts w:hint="eastAsia"/>
        </w:rPr>
        <w:t>《信息安全技术</w:t>
      </w:r>
      <w:r>
        <w:t xml:space="preserve"> 个人信息安全规范》</w:t>
      </w:r>
    </w:p>
    <w:p w14:paraId="17E9506F">
      <w:pPr>
        <w:pStyle w:val="13"/>
        <w:numPr>
          <w:ilvl w:val="0"/>
          <w:numId w:val="3"/>
        </w:numPr>
        <w:spacing w:line="360" w:lineRule="auto"/>
        <w:ind w:firstLineChars="0"/>
        <w:rPr>
          <w:rFonts w:hint="eastAsia"/>
        </w:rPr>
      </w:pPr>
      <w:r>
        <w:rPr>
          <w:rFonts w:hint="eastAsia"/>
        </w:rPr>
        <w:t>《信息安全技术</w:t>
      </w:r>
      <w:r>
        <w:t xml:space="preserve"> 大数据服务安全能力要求》</w:t>
      </w:r>
    </w:p>
    <w:p w14:paraId="6CBF7FF3">
      <w:pPr>
        <w:pStyle w:val="13"/>
        <w:numPr>
          <w:ilvl w:val="0"/>
          <w:numId w:val="3"/>
        </w:numPr>
        <w:spacing w:line="360" w:lineRule="auto"/>
        <w:ind w:firstLineChars="0"/>
        <w:rPr>
          <w:rFonts w:hint="eastAsia"/>
        </w:rPr>
      </w:pPr>
      <w:r>
        <w:rPr>
          <w:rFonts w:hint="eastAsia"/>
        </w:rPr>
        <w:t>《信息安全技术</w:t>
      </w:r>
      <w:r>
        <w:t xml:space="preserve"> 数据安全能力成熟度模型》</w:t>
      </w:r>
    </w:p>
    <w:p w14:paraId="099C6E03">
      <w:pPr>
        <w:pStyle w:val="13"/>
        <w:numPr>
          <w:ilvl w:val="0"/>
          <w:numId w:val="3"/>
        </w:numPr>
        <w:spacing w:line="360" w:lineRule="auto"/>
        <w:ind w:firstLineChars="0"/>
        <w:rPr>
          <w:rFonts w:hint="eastAsia"/>
        </w:rPr>
      </w:pPr>
      <w:r>
        <w:rPr>
          <w:rFonts w:hint="eastAsia"/>
        </w:rPr>
        <w:t>《信息安全技术</w:t>
      </w:r>
      <w:r>
        <w:t xml:space="preserve"> 大数据安全管理指南》</w:t>
      </w:r>
    </w:p>
    <w:p w14:paraId="51352FBF">
      <w:pPr>
        <w:pStyle w:val="13"/>
        <w:numPr>
          <w:ilvl w:val="0"/>
          <w:numId w:val="3"/>
        </w:numPr>
        <w:spacing w:line="360" w:lineRule="auto"/>
        <w:ind w:firstLineChars="0"/>
        <w:rPr>
          <w:rFonts w:hint="eastAsia"/>
        </w:rPr>
      </w:pPr>
      <w:r>
        <w:rPr>
          <w:rFonts w:hint="eastAsia"/>
        </w:rPr>
        <w:t>《医疗卫生机构网络安全管理办法》</w:t>
      </w:r>
    </w:p>
    <w:p w14:paraId="0075973F">
      <w:pPr>
        <w:pStyle w:val="3"/>
        <w:numPr>
          <w:ilvl w:val="1"/>
          <w:numId w:val="2"/>
        </w:numPr>
        <w:rPr>
          <w:rFonts w:hint="eastAsia"/>
        </w:rPr>
      </w:pPr>
      <w:r>
        <w:rPr>
          <w:rFonts w:hint="eastAsia"/>
        </w:rPr>
        <w:t>建设要求</w:t>
      </w:r>
    </w:p>
    <w:p w14:paraId="3A37EBBB">
      <w:pPr>
        <w:spacing w:line="360" w:lineRule="auto"/>
        <w:ind w:firstLine="420" w:firstLineChars="200"/>
        <w:rPr>
          <w:rFonts w:hint="eastAsia"/>
        </w:rPr>
      </w:pPr>
      <w:r>
        <w:t>国家及地方各主管和监管机构对我院开展数据活动过程中的安全职责和安全能力也提出了明确的要求，内容主要包括：</w:t>
      </w:r>
    </w:p>
    <w:p w14:paraId="0E5B4658">
      <w:pPr>
        <w:pStyle w:val="13"/>
        <w:numPr>
          <w:ilvl w:val="0"/>
          <w:numId w:val="4"/>
        </w:numPr>
        <w:spacing w:line="360" w:lineRule="auto"/>
        <w:ind w:firstLineChars="0"/>
        <w:rPr>
          <w:rFonts w:hint="eastAsia"/>
        </w:rPr>
      </w:pPr>
      <w:r>
        <w:rPr>
          <w:rFonts w:hint="eastAsia"/>
        </w:rPr>
        <w:t>必须对数据进行分类分级，确定重要数据保护目录，并对列入目录的数据进行重点保护；</w:t>
      </w:r>
    </w:p>
    <w:p w14:paraId="5EA66201">
      <w:pPr>
        <w:pStyle w:val="13"/>
        <w:numPr>
          <w:ilvl w:val="0"/>
          <w:numId w:val="4"/>
        </w:numPr>
        <w:spacing w:line="360" w:lineRule="auto"/>
        <w:ind w:firstLineChars="0"/>
        <w:rPr>
          <w:rFonts w:hint="eastAsia"/>
        </w:rPr>
      </w:pPr>
      <w:r>
        <w:rPr>
          <w:rFonts w:hint="eastAsia"/>
        </w:rPr>
        <w:t>重要数据的处理者应当按照规定定期开展风险评估；</w:t>
      </w:r>
    </w:p>
    <w:p w14:paraId="300A9782">
      <w:pPr>
        <w:pStyle w:val="13"/>
        <w:numPr>
          <w:ilvl w:val="0"/>
          <w:numId w:val="4"/>
        </w:numPr>
        <w:spacing w:line="360" w:lineRule="auto"/>
        <w:ind w:firstLineChars="0"/>
        <w:rPr>
          <w:rFonts w:hint="eastAsia"/>
        </w:rPr>
      </w:pPr>
      <w:r>
        <w:rPr>
          <w:rFonts w:hint="eastAsia"/>
        </w:rPr>
        <w:t>加强风险监测，发现数据安全缺陷、漏洞等风险时，应当立即采取补救措施，发生数据安全事件时，应当及时告知用户并向有关主管部门报告；</w:t>
      </w:r>
    </w:p>
    <w:p w14:paraId="21631338">
      <w:pPr>
        <w:pStyle w:val="13"/>
        <w:numPr>
          <w:ilvl w:val="0"/>
          <w:numId w:val="4"/>
        </w:numPr>
        <w:spacing w:line="360" w:lineRule="auto"/>
        <w:ind w:firstLineChars="0"/>
        <w:rPr>
          <w:rFonts w:hint="eastAsia"/>
        </w:rPr>
      </w:pPr>
      <w:r>
        <w:rPr>
          <w:rFonts w:hint="eastAsia"/>
        </w:rPr>
        <w:t>单位应建立健全全流程数据安全管理制度，保障数据安全。</w:t>
      </w:r>
    </w:p>
    <w:p w14:paraId="70E51FA3">
      <w:pPr>
        <w:pStyle w:val="2"/>
        <w:numPr>
          <w:ilvl w:val="0"/>
          <w:numId w:val="1"/>
        </w:numPr>
        <w:rPr>
          <w:rFonts w:hint="eastAsia"/>
        </w:rPr>
      </w:pPr>
      <w:r>
        <w:rPr>
          <w:rFonts w:hint="eastAsia"/>
        </w:rPr>
        <w:t>调研范围</w:t>
      </w:r>
    </w:p>
    <w:p w14:paraId="20FB9752">
      <w:pPr>
        <w:spacing w:line="360" w:lineRule="auto"/>
        <w:ind w:firstLine="420" w:firstLineChars="200"/>
        <w:rPr>
          <w:rFonts w:hint="eastAsia"/>
        </w:rPr>
      </w:pPr>
      <w:r>
        <w:rPr>
          <w:rFonts w:hint="eastAsia"/>
        </w:rPr>
        <w:t>我院根据目前的业务数据应用情况，初步确定本次项目涵盖本院核心业务系统，包括但不限于：</w:t>
      </w:r>
    </w:p>
    <w:tbl>
      <w:tblPr>
        <w:tblStyle w:val="14"/>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704"/>
        <w:gridCol w:w="1134"/>
        <w:gridCol w:w="6458"/>
      </w:tblGrid>
      <w:tr w14:paraId="70364E4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04" w:type="dxa"/>
            <w:shd w:val="clear" w:color="auto" w:fill="92D050"/>
          </w:tcPr>
          <w:p w14:paraId="6EE8D5DD">
            <w:pPr>
              <w:spacing w:line="360" w:lineRule="auto"/>
              <w:rPr>
                <w:rFonts w:hint="eastAsia"/>
                <w:b/>
              </w:rPr>
            </w:pPr>
            <w:r>
              <w:rPr>
                <w:rFonts w:hint="eastAsia"/>
                <w:b/>
              </w:rPr>
              <w:t>序号</w:t>
            </w:r>
          </w:p>
        </w:tc>
        <w:tc>
          <w:tcPr>
            <w:tcW w:w="1134" w:type="dxa"/>
            <w:shd w:val="clear" w:color="auto" w:fill="92D050"/>
          </w:tcPr>
          <w:p w14:paraId="75617E83">
            <w:pPr>
              <w:spacing w:line="360" w:lineRule="auto"/>
              <w:rPr>
                <w:rFonts w:hint="eastAsia"/>
                <w:b/>
              </w:rPr>
            </w:pPr>
            <w:r>
              <w:rPr>
                <w:rFonts w:hint="eastAsia"/>
                <w:b/>
              </w:rPr>
              <w:t>业务</w:t>
            </w:r>
          </w:p>
        </w:tc>
        <w:tc>
          <w:tcPr>
            <w:tcW w:w="6458" w:type="dxa"/>
            <w:shd w:val="clear" w:color="auto" w:fill="92D050"/>
          </w:tcPr>
          <w:p w14:paraId="383F51EA">
            <w:pPr>
              <w:spacing w:line="360" w:lineRule="auto"/>
              <w:rPr>
                <w:rFonts w:hint="eastAsia"/>
                <w:b/>
              </w:rPr>
            </w:pPr>
            <w:r>
              <w:rPr>
                <w:rFonts w:hint="eastAsia"/>
                <w:b/>
              </w:rPr>
              <w:t>说明</w:t>
            </w:r>
          </w:p>
        </w:tc>
      </w:tr>
      <w:tr w14:paraId="65CE5A4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04" w:type="dxa"/>
            <w:vAlign w:val="center"/>
          </w:tcPr>
          <w:p w14:paraId="6E65020E">
            <w:pPr>
              <w:spacing w:line="360" w:lineRule="auto"/>
              <w:rPr>
                <w:rFonts w:hint="eastAsia"/>
              </w:rPr>
            </w:pPr>
            <w:r>
              <w:rPr>
                <w:rFonts w:hint="eastAsia"/>
              </w:rPr>
              <w:t>0</w:t>
            </w:r>
            <w:r>
              <w:t>1</w:t>
            </w:r>
          </w:p>
        </w:tc>
        <w:tc>
          <w:tcPr>
            <w:tcW w:w="1134" w:type="dxa"/>
            <w:vAlign w:val="center"/>
          </w:tcPr>
          <w:p w14:paraId="340CC966">
            <w:pPr>
              <w:spacing w:line="360" w:lineRule="auto"/>
              <w:rPr>
                <w:rFonts w:hint="eastAsia"/>
              </w:rPr>
            </w:pPr>
            <w:r>
              <w:rPr>
                <w:rFonts w:hint="eastAsia"/>
              </w:rPr>
              <w:t>H</w:t>
            </w:r>
            <w:r>
              <w:t>IS</w:t>
            </w:r>
            <w:r>
              <w:rPr>
                <w:rFonts w:hint="eastAsia"/>
              </w:rPr>
              <w:t>系统</w:t>
            </w:r>
          </w:p>
        </w:tc>
        <w:tc>
          <w:tcPr>
            <w:tcW w:w="6458" w:type="dxa"/>
          </w:tcPr>
          <w:p w14:paraId="699720B3">
            <w:pPr>
              <w:spacing w:line="360" w:lineRule="auto"/>
              <w:rPr>
                <w:rFonts w:hint="eastAsia"/>
              </w:rPr>
            </w:pPr>
            <w:r>
              <w:rPr>
                <w:rFonts w:hint="eastAsia"/>
              </w:rPr>
              <w:t>对医疗活动各阶段产生的数据进行采集、存储、处理、提取、传输、汇总、加工生成各种信息，为医院的整体运行提供全面的、自动化的管理及各种服务。</w:t>
            </w:r>
          </w:p>
        </w:tc>
      </w:tr>
      <w:tr w14:paraId="789DFA7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04" w:type="dxa"/>
            <w:vAlign w:val="center"/>
          </w:tcPr>
          <w:p w14:paraId="564DF0BA">
            <w:pPr>
              <w:spacing w:line="360" w:lineRule="auto"/>
              <w:rPr>
                <w:rFonts w:hint="eastAsia"/>
              </w:rPr>
            </w:pPr>
            <w:r>
              <w:rPr>
                <w:rFonts w:hint="eastAsia"/>
              </w:rPr>
              <w:t>0</w:t>
            </w:r>
            <w:r>
              <w:t>2</w:t>
            </w:r>
          </w:p>
        </w:tc>
        <w:tc>
          <w:tcPr>
            <w:tcW w:w="1134" w:type="dxa"/>
            <w:vAlign w:val="center"/>
          </w:tcPr>
          <w:p w14:paraId="0718FE8B">
            <w:pPr>
              <w:spacing w:line="360" w:lineRule="auto"/>
              <w:rPr>
                <w:rFonts w:hint="eastAsia"/>
              </w:rPr>
            </w:pPr>
            <w:r>
              <w:rPr>
                <w:rFonts w:hint="eastAsia"/>
              </w:rPr>
              <w:t>L</w:t>
            </w:r>
            <w:r>
              <w:t>IS</w:t>
            </w:r>
            <w:r>
              <w:rPr>
                <w:rFonts w:hint="eastAsia"/>
              </w:rPr>
              <w:t>系统</w:t>
            </w:r>
          </w:p>
        </w:tc>
        <w:tc>
          <w:tcPr>
            <w:tcW w:w="6458" w:type="dxa"/>
          </w:tcPr>
          <w:p w14:paraId="64E9CE58">
            <w:pPr>
              <w:spacing w:line="360" w:lineRule="auto"/>
              <w:rPr>
                <w:rFonts w:hint="eastAsia"/>
              </w:rPr>
            </w:pPr>
            <w:r>
              <w:rPr>
                <w:rFonts w:hint="eastAsia"/>
              </w:rPr>
              <w:t>将复杂的检验流程、海量的检验数据和精密的仪器设备有机地整合在一起。对检验申请、标本采集、核收、检测、结果审核发布到质量控制的整个流程进行数字化管理，确保检验数据的准确性、可靠性和可追溯性。</w:t>
            </w:r>
          </w:p>
        </w:tc>
      </w:tr>
      <w:tr w14:paraId="3BE4F8F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04" w:type="dxa"/>
            <w:vAlign w:val="center"/>
          </w:tcPr>
          <w:p w14:paraId="386A3B2C">
            <w:pPr>
              <w:spacing w:line="360" w:lineRule="auto"/>
              <w:rPr>
                <w:rFonts w:hint="eastAsia"/>
              </w:rPr>
            </w:pPr>
            <w:r>
              <w:rPr>
                <w:rFonts w:hint="eastAsia"/>
              </w:rPr>
              <w:t>0</w:t>
            </w:r>
            <w:r>
              <w:t>3</w:t>
            </w:r>
          </w:p>
        </w:tc>
        <w:tc>
          <w:tcPr>
            <w:tcW w:w="1134" w:type="dxa"/>
            <w:vAlign w:val="center"/>
          </w:tcPr>
          <w:p w14:paraId="5E6CD79B">
            <w:pPr>
              <w:spacing w:line="360" w:lineRule="auto"/>
              <w:rPr>
                <w:rFonts w:hint="eastAsia"/>
              </w:rPr>
            </w:pPr>
            <w:r>
              <w:t>EMR</w:t>
            </w:r>
            <w:r>
              <w:rPr>
                <w:rFonts w:hint="eastAsia"/>
              </w:rPr>
              <w:t>系统</w:t>
            </w:r>
          </w:p>
        </w:tc>
        <w:tc>
          <w:tcPr>
            <w:tcW w:w="6458" w:type="dxa"/>
          </w:tcPr>
          <w:p w14:paraId="1098403C">
            <w:pPr>
              <w:spacing w:line="360" w:lineRule="auto"/>
              <w:rPr>
                <w:rFonts w:hint="eastAsia"/>
              </w:rPr>
            </w:pPr>
            <w:r>
              <w:rPr>
                <w:rFonts w:hint="eastAsia"/>
              </w:rPr>
              <w:t>电子病历，以电子化方式记录、存储、管理、传输和重现关于个人的健康信息。</w:t>
            </w:r>
          </w:p>
        </w:tc>
      </w:tr>
      <w:tr w14:paraId="29C719D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04" w:type="dxa"/>
            <w:vAlign w:val="center"/>
          </w:tcPr>
          <w:p w14:paraId="5A30EEC8">
            <w:pPr>
              <w:spacing w:line="360" w:lineRule="auto"/>
              <w:rPr>
                <w:rFonts w:hint="eastAsia"/>
              </w:rPr>
            </w:pPr>
            <w:r>
              <w:rPr>
                <w:rFonts w:hint="eastAsia"/>
              </w:rPr>
              <w:t>0</w:t>
            </w:r>
            <w:r>
              <w:t>4</w:t>
            </w:r>
          </w:p>
        </w:tc>
        <w:tc>
          <w:tcPr>
            <w:tcW w:w="1134" w:type="dxa"/>
            <w:vAlign w:val="center"/>
          </w:tcPr>
          <w:p w14:paraId="22454593">
            <w:pPr>
              <w:spacing w:line="360" w:lineRule="auto"/>
              <w:rPr>
                <w:rFonts w:hint="eastAsia"/>
              </w:rPr>
            </w:pPr>
            <w:r>
              <w:rPr>
                <w:rFonts w:hint="eastAsia"/>
              </w:rPr>
              <w:t>集成平台系统</w:t>
            </w:r>
          </w:p>
        </w:tc>
        <w:tc>
          <w:tcPr>
            <w:tcW w:w="6458" w:type="dxa"/>
          </w:tcPr>
          <w:p w14:paraId="568AE6DA">
            <w:pPr>
              <w:spacing w:line="360" w:lineRule="auto"/>
              <w:rPr>
                <w:rFonts w:hint="eastAsia"/>
              </w:rPr>
            </w:pPr>
            <w:r>
              <w:rPr>
                <w:rFonts w:hint="eastAsia"/>
              </w:rPr>
              <w:t>临床数据湖，集中、整合、存储、标准化来自医院内各个不同系统的所有临床数据，并为其他应用提供统一的数据服务。</w:t>
            </w:r>
          </w:p>
        </w:tc>
      </w:tr>
      <w:tr w14:paraId="6D50069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04" w:type="dxa"/>
            <w:vAlign w:val="center"/>
          </w:tcPr>
          <w:p w14:paraId="5637A62C">
            <w:pPr>
              <w:spacing w:line="360" w:lineRule="auto"/>
              <w:rPr>
                <w:rFonts w:hint="eastAsia"/>
              </w:rPr>
            </w:pPr>
            <w:r>
              <w:rPr>
                <w:rFonts w:hint="eastAsia"/>
              </w:rPr>
              <w:t>0</w:t>
            </w:r>
            <w:r>
              <w:t>5</w:t>
            </w:r>
          </w:p>
        </w:tc>
        <w:tc>
          <w:tcPr>
            <w:tcW w:w="1134" w:type="dxa"/>
            <w:vAlign w:val="center"/>
          </w:tcPr>
          <w:p w14:paraId="2FEEC7FE">
            <w:pPr>
              <w:spacing w:line="360" w:lineRule="auto"/>
              <w:rPr>
                <w:rFonts w:hint="eastAsia"/>
              </w:rPr>
            </w:pPr>
            <w:r>
              <w:rPr>
                <w:rFonts w:hint="eastAsia"/>
              </w:rPr>
              <w:t>影像中心系统</w:t>
            </w:r>
          </w:p>
        </w:tc>
        <w:tc>
          <w:tcPr>
            <w:tcW w:w="6458" w:type="dxa"/>
          </w:tcPr>
          <w:p w14:paraId="767B253A">
            <w:pPr>
              <w:spacing w:line="360" w:lineRule="auto"/>
              <w:rPr>
                <w:rFonts w:hint="eastAsia"/>
              </w:rPr>
            </w:pPr>
            <w:r>
              <w:rPr>
                <w:rFonts w:hint="eastAsia"/>
              </w:rPr>
              <w:t>医院内负责医学影像的</w:t>
            </w:r>
            <w:r>
              <w:t xml:space="preserve"> “生产、管理、诊断、分发和应用” 的全流程信息化体系。集成了影像设备、存储、传输、诊断、管理和协作的综合性平台。</w:t>
            </w:r>
          </w:p>
        </w:tc>
      </w:tr>
      <w:tr w14:paraId="55C7F5F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04" w:type="dxa"/>
            <w:vAlign w:val="center"/>
          </w:tcPr>
          <w:p w14:paraId="005F6A48">
            <w:pPr>
              <w:spacing w:line="360" w:lineRule="auto"/>
              <w:rPr>
                <w:rFonts w:hint="eastAsia"/>
              </w:rPr>
            </w:pPr>
            <w:r>
              <w:rPr>
                <w:rFonts w:hint="eastAsia"/>
              </w:rPr>
              <w:t>0</w:t>
            </w:r>
            <w:r>
              <w:t>6</w:t>
            </w:r>
          </w:p>
        </w:tc>
        <w:tc>
          <w:tcPr>
            <w:tcW w:w="1134" w:type="dxa"/>
            <w:vAlign w:val="center"/>
          </w:tcPr>
          <w:p w14:paraId="677CEC13">
            <w:pPr>
              <w:spacing w:line="360" w:lineRule="auto"/>
              <w:rPr>
                <w:rFonts w:hint="eastAsia"/>
              </w:rPr>
            </w:pPr>
            <w:r>
              <w:rPr>
                <w:rFonts w:hint="eastAsia"/>
              </w:rPr>
              <w:t>移动护理系统</w:t>
            </w:r>
          </w:p>
        </w:tc>
        <w:tc>
          <w:tcPr>
            <w:tcW w:w="6458" w:type="dxa"/>
          </w:tcPr>
          <w:p w14:paraId="3E797D48">
            <w:pPr>
              <w:spacing w:line="360" w:lineRule="auto"/>
              <w:rPr>
                <w:rFonts w:hint="eastAsia"/>
              </w:rPr>
            </w:pPr>
            <w:r>
              <w:rPr>
                <w:rFonts w:hint="eastAsia"/>
              </w:rPr>
              <w:t>基于移动计算技术、无线网络技术和条码</w:t>
            </w:r>
            <w:r>
              <w:t>/RFID识别技术，将HIS和EMR的功能延伸至患者床旁。实现护理工作的床边实时化、移动化、智能化，杜绝医疗差错，提升护理质量和安全。</w:t>
            </w:r>
          </w:p>
        </w:tc>
      </w:tr>
    </w:tbl>
    <w:p w14:paraId="4FCE41FF">
      <w:pPr>
        <w:widowControl/>
        <w:jc w:val="left"/>
        <w:rPr>
          <w:rFonts w:hint="eastAsia"/>
        </w:rPr>
      </w:pPr>
    </w:p>
    <w:p w14:paraId="36C6AFCD">
      <w:pPr>
        <w:pStyle w:val="2"/>
        <w:numPr>
          <w:ilvl w:val="0"/>
          <w:numId w:val="1"/>
        </w:numPr>
        <w:rPr>
          <w:rFonts w:hint="eastAsia"/>
        </w:rPr>
      </w:pPr>
      <w:r>
        <w:rPr>
          <w:rFonts w:hint="eastAsia"/>
        </w:rPr>
        <w:t>产品清单</w:t>
      </w:r>
    </w:p>
    <w:p w14:paraId="7F530EFB">
      <w:pPr>
        <w:spacing w:line="360" w:lineRule="auto"/>
        <w:ind w:firstLine="420" w:firstLineChars="200"/>
        <w:rPr>
          <w:rFonts w:hint="eastAsia"/>
        </w:rPr>
      </w:pPr>
      <w:r>
        <w:rPr>
          <w:rFonts w:hint="eastAsia"/>
        </w:rPr>
        <w:t>数据安全分类分级是一项复杂的工作，因此需要一套科学、高效的数据分类分级系统，并且配合专业、敏捷的数据分类分级服务，才能够高效、准确、可持续的完成数据安全分类分级这项工作，最终构建起坚实的数据安全防护体系。由此拟定本次项目清单如下：</w:t>
      </w:r>
    </w:p>
    <w:tbl>
      <w:tblPr>
        <w:tblStyle w:val="14"/>
        <w:tblW w:w="5000" w:type="pct"/>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220"/>
        <w:gridCol w:w="3639"/>
        <w:gridCol w:w="1221"/>
        <w:gridCol w:w="1221"/>
        <w:gridCol w:w="1221"/>
      </w:tblGrid>
      <w:tr w14:paraId="05ADDEE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16" w:type="pct"/>
            <w:shd w:val="clear" w:color="auto" w:fill="92D050"/>
          </w:tcPr>
          <w:p w14:paraId="3072A646">
            <w:pPr>
              <w:spacing w:line="360" w:lineRule="auto"/>
              <w:rPr>
                <w:rFonts w:hint="eastAsia"/>
                <w:b/>
              </w:rPr>
            </w:pPr>
            <w:r>
              <w:rPr>
                <w:rFonts w:hint="eastAsia"/>
                <w:b/>
              </w:rPr>
              <w:t>序号</w:t>
            </w:r>
          </w:p>
        </w:tc>
        <w:tc>
          <w:tcPr>
            <w:tcW w:w="2135" w:type="pct"/>
            <w:shd w:val="clear" w:color="auto" w:fill="92D050"/>
          </w:tcPr>
          <w:p w14:paraId="3961A545">
            <w:pPr>
              <w:spacing w:line="360" w:lineRule="auto"/>
              <w:rPr>
                <w:rFonts w:hint="eastAsia"/>
                <w:b/>
              </w:rPr>
            </w:pPr>
            <w:r>
              <w:rPr>
                <w:rFonts w:hint="eastAsia"/>
                <w:b/>
              </w:rPr>
              <w:t>名称</w:t>
            </w:r>
          </w:p>
        </w:tc>
        <w:tc>
          <w:tcPr>
            <w:tcW w:w="716" w:type="pct"/>
            <w:shd w:val="clear" w:color="auto" w:fill="92D050"/>
          </w:tcPr>
          <w:p w14:paraId="720E19BC">
            <w:pPr>
              <w:spacing w:line="360" w:lineRule="auto"/>
              <w:rPr>
                <w:rFonts w:hint="eastAsia"/>
                <w:b/>
              </w:rPr>
            </w:pPr>
            <w:r>
              <w:rPr>
                <w:rFonts w:hint="eastAsia"/>
                <w:b/>
              </w:rPr>
              <w:t>单位</w:t>
            </w:r>
          </w:p>
        </w:tc>
        <w:tc>
          <w:tcPr>
            <w:tcW w:w="716" w:type="pct"/>
            <w:shd w:val="clear" w:color="auto" w:fill="92D050"/>
          </w:tcPr>
          <w:p w14:paraId="21FE410D">
            <w:pPr>
              <w:spacing w:line="360" w:lineRule="auto"/>
              <w:rPr>
                <w:rFonts w:hint="eastAsia"/>
                <w:b/>
              </w:rPr>
            </w:pPr>
            <w:r>
              <w:rPr>
                <w:rFonts w:hint="eastAsia"/>
                <w:b/>
              </w:rPr>
              <w:t>数量</w:t>
            </w:r>
          </w:p>
        </w:tc>
        <w:tc>
          <w:tcPr>
            <w:tcW w:w="716" w:type="pct"/>
            <w:shd w:val="clear" w:color="auto" w:fill="92D050"/>
          </w:tcPr>
          <w:p w14:paraId="32125E06">
            <w:pPr>
              <w:spacing w:line="360" w:lineRule="auto"/>
              <w:rPr>
                <w:rFonts w:hint="eastAsia"/>
                <w:b/>
              </w:rPr>
            </w:pPr>
            <w:r>
              <w:rPr>
                <w:rFonts w:hint="eastAsia"/>
                <w:b/>
              </w:rPr>
              <w:t>备注</w:t>
            </w:r>
          </w:p>
        </w:tc>
      </w:tr>
      <w:tr w14:paraId="49774A5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16" w:type="pct"/>
          </w:tcPr>
          <w:p w14:paraId="7A4D0BC5">
            <w:pPr>
              <w:spacing w:line="360" w:lineRule="auto"/>
              <w:rPr>
                <w:rFonts w:hint="eastAsia"/>
              </w:rPr>
            </w:pPr>
            <w:r>
              <w:rPr>
                <w:rFonts w:hint="eastAsia"/>
              </w:rPr>
              <w:t>0</w:t>
            </w:r>
            <w:r>
              <w:t>1</w:t>
            </w:r>
          </w:p>
        </w:tc>
        <w:tc>
          <w:tcPr>
            <w:tcW w:w="2135" w:type="pct"/>
          </w:tcPr>
          <w:p w14:paraId="78C98C2F">
            <w:pPr>
              <w:spacing w:line="360" w:lineRule="auto"/>
              <w:rPr>
                <w:rFonts w:hint="eastAsia"/>
              </w:rPr>
            </w:pPr>
            <w:r>
              <w:rPr>
                <w:rFonts w:hint="eastAsia"/>
              </w:rPr>
              <w:t>数据安全分类分级系统</w:t>
            </w:r>
          </w:p>
        </w:tc>
        <w:tc>
          <w:tcPr>
            <w:tcW w:w="716" w:type="pct"/>
          </w:tcPr>
          <w:p w14:paraId="6713DE95">
            <w:pPr>
              <w:spacing w:line="360" w:lineRule="auto"/>
              <w:rPr>
                <w:rFonts w:hint="eastAsia"/>
              </w:rPr>
            </w:pPr>
            <w:r>
              <w:rPr>
                <w:rFonts w:hint="eastAsia"/>
              </w:rPr>
              <w:t>套</w:t>
            </w:r>
          </w:p>
        </w:tc>
        <w:tc>
          <w:tcPr>
            <w:tcW w:w="716" w:type="pct"/>
          </w:tcPr>
          <w:p w14:paraId="004EEF8C">
            <w:pPr>
              <w:spacing w:line="360" w:lineRule="auto"/>
              <w:rPr>
                <w:rFonts w:hint="eastAsia"/>
              </w:rPr>
            </w:pPr>
            <w:r>
              <w:rPr>
                <w:rFonts w:hint="eastAsia"/>
              </w:rPr>
              <w:t>1</w:t>
            </w:r>
          </w:p>
        </w:tc>
        <w:tc>
          <w:tcPr>
            <w:tcW w:w="716" w:type="pct"/>
          </w:tcPr>
          <w:p w14:paraId="6F48732C">
            <w:pPr>
              <w:spacing w:line="360" w:lineRule="auto"/>
              <w:rPr>
                <w:rFonts w:hint="eastAsia"/>
              </w:rPr>
            </w:pPr>
          </w:p>
        </w:tc>
      </w:tr>
      <w:tr w14:paraId="5E67633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716" w:type="pct"/>
          </w:tcPr>
          <w:p w14:paraId="006C7887">
            <w:pPr>
              <w:spacing w:line="360" w:lineRule="auto"/>
              <w:rPr>
                <w:rFonts w:hint="eastAsia"/>
              </w:rPr>
            </w:pPr>
            <w:r>
              <w:rPr>
                <w:rFonts w:hint="eastAsia"/>
              </w:rPr>
              <w:t>0</w:t>
            </w:r>
            <w:r>
              <w:t>2</w:t>
            </w:r>
          </w:p>
        </w:tc>
        <w:tc>
          <w:tcPr>
            <w:tcW w:w="2135" w:type="pct"/>
          </w:tcPr>
          <w:p w14:paraId="5C5882FF">
            <w:pPr>
              <w:spacing w:line="360" w:lineRule="auto"/>
              <w:rPr>
                <w:rFonts w:hint="eastAsia"/>
              </w:rPr>
            </w:pPr>
            <w:r>
              <w:rPr>
                <w:rFonts w:hint="eastAsia"/>
              </w:rPr>
              <w:t>数据安全分类分级服务</w:t>
            </w:r>
          </w:p>
        </w:tc>
        <w:tc>
          <w:tcPr>
            <w:tcW w:w="716" w:type="pct"/>
          </w:tcPr>
          <w:p w14:paraId="4AA65411">
            <w:pPr>
              <w:spacing w:line="360" w:lineRule="auto"/>
              <w:rPr>
                <w:rFonts w:hint="eastAsia"/>
              </w:rPr>
            </w:pPr>
            <w:r>
              <w:rPr>
                <w:rFonts w:hint="eastAsia"/>
              </w:rPr>
              <w:t>套</w:t>
            </w:r>
          </w:p>
        </w:tc>
        <w:tc>
          <w:tcPr>
            <w:tcW w:w="716" w:type="pct"/>
          </w:tcPr>
          <w:p w14:paraId="69F3F6E6">
            <w:pPr>
              <w:spacing w:line="360" w:lineRule="auto"/>
              <w:rPr>
                <w:rFonts w:hint="eastAsia"/>
              </w:rPr>
            </w:pPr>
            <w:r>
              <w:rPr>
                <w:rFonts w:hint="eastAsia"/>
              </w:rPr>
              <w:t>1</w:t>
            </w:r>
          </w:p>
        </w:tc>
        <w:tc>
          <w:tcPr>
            <w:tcW w:w="716" w:type="pct"/>
          </w:tcPr>
          <w:p w14:paraId="4F53D6E1">
            <w:pPr>
              <w:spacing w:line="360" w:lineRule="auto"/>
              <w:rPr>
                <w:rFonts w:hint="eastAsia"/>
              </w:rPr>
            </w:pPr>
          </w:p>
        </w:tc>
      </w:tr>
    </w:tbl>
    <w:p w14:paraId="3F55D08E">
      <w:pPr>
        <w:pStyle w:val="3"/>
        <w:rPr>
          <w:rFonts w:hint="eastAsia"/>
        </w:rPr>
      </w:pPr>
      <w:r>
        <w:rPr>
          <w:rFonts w:hint="eastAsia"/>
        </w:rPr>
        <w:t>3</w:t>
      </w:r>
      <w:r>
        <w:t xml:space="preserve">.1 </w:t>
      </w:r>
      <w:r>
        <w:rPr>
          <w:rFonts w:hint="eastAsia"/>
        </w:rPr>
        <w:t>数据安全分类分级系统参数</w:t>
      </w:r>
    </w:p>
    <w:tbl>
      <w:tblPr>
        <w:tblStyle w:val="14"/>
        <w:tblW w:w="5000" w:type="pct"/>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217"/>
        <w:gridCol w:w="7305"/>
      </w:tblGrid>
      <w:tr w14:paraId="28CD3D3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82" w:hRule="atLeast"/>
        </w:trPr>
        <w:tc>
          <w:tcPr>
            <w:tcW w:w="714" w:type="pct"/>
            <w:shd w:val="clear" w:color="auto" w:fill="92D050"/>
          </w:tcPr>
          <w:p w14:paraId="5A2EAB6E">
            <w:pPr>
              <w:spacing w:before="60" w:after="60" w:line="360" w:lineRule="auto"/>
              <w:jc w:val="center"/>
              <w:rPr>
                <w:rFonts w:hint="eastAsia" w:cs="宋体" w:asciiTheme="minorEastAsia" w:hAnsiTheme="minorEastAsia"/>
                <w:b/>
                <w:bCs/>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指标项</w:t>
            </w:r>
          </w:p>
        </w:tc>
        <w:tc>
          <w:tcPr>
            <w:tcW w:w="4286" w:type="pct"/>
            <w:shd w:val="clear" w:color="auto" w:fill="92D050"/>
          </w:tcPr>
          <w:p w14:paraId="4B737E9D">
            <w:pPr>
              <w:spacing w:before="60" w:after="60" w:line="360" w:lineRule="auto"/>
              <w:jc w:val="center"/>
              <w:rPr>
                <w:rFonts w:hint="eastAsia" w:cs="宋体" w:asciiTheme="minorEastAsia" w:hAnsiTheme="minorEastAsia"/>
                <w:b/>
                <w:bCs/>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详细功能要求</w:t>
            </w:r>
          </w:p>
        </w:tc>
      </w:tr>
      <w:tr w14:paraId="4A035A6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Merge w:val="restart"/>
            <w:vAlign w:val="center"/>
          </w:tcPr>
          <w:p w14:paraId="64B1CA81">
            <w:pPr>
              <w:spacing w:line="360" w:lineRule="auto"/>
              <w:rPr>
                <w:rFonts w:hint="eastAsia" w:cs="微软雅黑" w:asciiTheme="minorEastAsia" w:hAnsiTheme="minorEastAsia"/>
                <w:szCs w:val="21"/>
              </w:rPr>
            </w:pPr>
            <w:r>
              <w:rPr>
                <w:rFonts w:hint="eastAsia" w:asciiTheme="minorEastAsia" w:hAnsiTheme="minorEastAsia"/>
                <w:color w:val="000000"/>
                <w:szCs w:val="21"/>
              </w:rPr>
              <w:t>资产类型</w:t>
            </w:r>
          </w:p>
        </w:tc>
        <w:tc>
          <w:tcPr>
            <w:tcW w:w="4286" w:type="pct"/>
          </w:tcPr>
          <w:p w14:paraId="13B2B62B">
            <w:pPr>
              <w:spacing w:line="360" w:lineRule="auto"/>
              <w:jc w:val="left"/>
              <w:rPr>
                <w:rFonts w:hint="eastAsia" w:asciiTheme="minorEastAsia" w:hAnsiTheme="minorEastAsia"/>
                <w:color w:val="000000"/>
                <w:szCs w:val="21"/>
              </w:rPr>
            </w:pPr>
            <w:r>
              <w:rPr>
                <w:rFonts w:hint="eastAsia" w:asciiTheme="minorEastAsia" w:hAnsiTheme="minorEastAsia"/>
                <w:color w:val="000000"/>
                <w:szCs w:val="21"/>
              </w:rPr>
              <w:t>支持多种资产类型，包括关系型数据库、非关系型数据库、国产数据库、大数据库和多种类型的文件；</w:t>
            </w:r>
          </w:p>
        </w:tc>
      </w:tr>
      <w:tr w14:paraId="4FF9822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16" w:hRule="atLeast"/>
        </w:trPr>
        <w:tc>
          <w:tcPr>
            <w:tcW w:w="714" w:type="pct"/>
            <w:vMerge w:val="continue"/>
            <w:vAlign w:val="center"/>
          </w:tcPr>
          <w:p w14:paraId="7DAFDF88">
            <w:pPr>
              <w:spacing w:line="360" w:lineRule="auto"/>
              <w:rPr>
                <w:rFonts w:hint="eastAsia" w:asciiTheme="minorEastAsia" w:hAnsiTheme="minorEastAsia"/>
                <w:color w:val="000000"/>
                <w:szCs w:val="21"/>
              </w:rPr>
            </w:pPr>
          </w:p>
        </w:tc>
        <w:tc>
          <w:tcPr>
            <w:tcW w:w="4286" w:type="pct"/>
          </w:tcPr>
          <w:p w14:paraId="5F1F547F">
            <w:pPr>
              <w:spacing w:line="360" w:lineRule="auto"/>
              <w:rPr>
                <w:rFonts w:hint="eastAsia" w:asciiTheme="minorEastAsia" w:hAnsiTheme="minorEastAsia"/>
                <w:color w:val="000000"/>
                <w:szCs w:val="21"/>
              </w:rPr>
            </w:pPr>
            <w:r>
              <w:rPr>
                <w:rFonts w:hint="eastAsia" w:asciiTheme="minorEastAsia" w:hAnsiTheme="minorEastAsia"/>
                <w:color w:val="000000"/>
                <w:szCs w:val="21"/>
              </w:rPr>
              <w:t>非结构化文件至少支持包括docx、pdf等，支持上传本地文件或通过远程（FTP/SFTP）方式导入文件，进行集中资产管理。</w:t>
            </w:r>
          </w:p>
        </w:tc>
      </w:tr>
      <w:tr w14:paraId="5ADB55B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Merge w:val="restart"/>
            <w:vAlign w:val="center"/>
          </w:tcPr>
          <w:p w14:paraId="3202C8DE">
            <w:pPr>
              <w:spacing w:line="360" w:lineRule="auto"/>
              <w:rPr>
                <w:rFonts w:hint="eastAsia" w:asciiTheme="minorEastAsia" w:hAnsiTheme="minorEastAsia"/>
                <w:color w:val="000000"/>
                <w:szCs w:val="21"/>
              </w:rPr>
            </w:pPr>
            <w:r>
              <w:rPr>
                <w:rFonts w:hint="eastAsia" w:asciiTheme="minorEastAsia" w:hAnsiTheme="minorEastAsia"/>
                <w:color w:val="000000"/>
                <w:szCs w:val="21"/>
              </w:rPr>
              <w:t>资产管理</w:t>
            </w:r>
          </w:p>
        </w:tc>
        <w:tc>
          <w:tcPr>
            <w:tcW w:w="4286" w:type="pct"/>
          </w:tcPr>
          <w:p w14:paraId="2FE0B70E">
            <w:pPr>
              <w:spacing w:line="360" w:lineRule="auto"/>
              <w:jc w:val="left"/>
              <w:rPr>
                <w:rFonts w:hint="eastAsia" w:asciiTheme="minorEastAsia" w:hAnsiTheme="minorEastAsia"/>
                <w:color w:val="000000"/>
                <w:szCs w:val="21"/>
              </w:rPr>
            </w:pPr>
            <w:r>
              <w:rPr>
                <w:rFonts w:hint="eastAsia" w:asciiTheme="minorEastAsia" w:hAnsiTheme="minorEastAsia"/>
                <w:color w:val="000000"/>
                <w:szCs w:val="21"/>
              </w:rPr>
              <w:t>支持通过手动、批量导入、扫描三种方式新增资产；支持将资产关联至所属部门、业务系统和责任人；支持根据资产</w:t>
            </w:r>
            <w:r>
              <w:rPr>
                <w:rFonts w:asciiTheme="minorEastAsia" w:hAnsiTheme="minorEastAsia"/>
                <w:color w:val="000000"/>
                <w:szCs w:val="21"/>
              </w:rPr>
              <w:t>类型或业务系统方式</w:t>
            </w:r>
            <w:r>
              <w:rPr>
                <w:rFonts w:hint="eastAsia" w:asciiTheme="minorEastAsia" w:hAnsiTheme="minorEastAsia"/>
                <w:color w:val="000000"/>
                <w:szCs w:val="21"/>
              </w:rPr>
              <w:t>对资产</w:t>
            </w:r>
            <w:r>
              <w:rPr>
                <w:rFonts w:asciiTheme="minorEastAsia" w:hAnsiTheme="minorEastAsia"/>
                <w:color w:val="000000"/>
                <w:szCs w:val="21"/>
              </w:rPr>
              <w:t>进行分组</w:t>
            </w:r>
            <w:r>
              <w:rPr>
                <w:rFonts w:hint="eastAsia" w:asciiTheme="minorEastAsia" w:hAnsiTheme="minorEastAsia"/>
                <w:color w:val="000000"/>
                <w:szCs w:val="21"/>
              </w:rPr>
              <w:t>管理；</w:t>
            </w:r>
          </w:p>
        </w:tc>
      </w:tr>
      <w:tr w14:paraId="176557B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Merge w:val="continue"/>
            <w:vAlign w:val="center"/>
          </w:tcPr>
          <w:p w14:paraId="2B74788B">
            <w:pPr>
              <w:spacing w:line="360" w:lineRule="auto"/>
              <w:rPr>
                <w:rFonts w:hint="eastAsia" w:asciiTheme="minorEastAsia" w:hAnsiTheme="minorEastAsia"/>
                <w:color w:val="000000"/>
                <w:szCs w:val="21"/>
              </w:rPr>
            </w:pPr>
          </w:p>
        </w:tc>
        <w:tc>
          <w:tcPr>
            <w:tcW w:w="4286" w:type="pct"/>
          </w:tcPr>
          <w:p w14:paraId="2E413A46">
            <w:pPr>
              <w:spacing w:line="360" w:lineRule="auto"/>
              <w:rPr>
                <w:rFonts w:hint="eastAsia" w:asciiTheme="minorEastAsia" w:hAnsiTheme="minorEastAsia"/>
                <w:color w:val="000000"/>
                <w:szCs w:val="21"/>
              </w:rPr>
            </w:pPr>
            <w:r>
              <w:rPr>
                <w:rFonts w:hint="eastAsia" w:asciiTheme="minorEastAsia" w:hAnsiTheme="minorEastAsia"/>
                <w:color w:val="000000"/>
                <w:szCs w:val="21"/>
              </w:rPr>
              <w:t>支持通过</w:t>
            </w:r>
            <w:r>
              <w:rPr>
                <w:rFonts w:asciiTheme="minorEastAsia" w:hAnsiTheme="minorEastAsia"/>
                <w:color w:val="000000"/>
                <w:szCs w:val="21"/>
              </w:rPr>
              <w:t>主外键</w:t>
            </w:r>
            <w:r>
              <w:rPr>
                <w:rFonts w:hint="eastAsia" w:asciiTheme="minorEastAsia" w:hAnsiTheme="minorEastAsia"/>
                <w:color w:val="000000"/>
                <w:szCs w:val="21"/>
              </w:rPr>
              <w:t>等方式进行数据表关系和数据字段关系梳理，并使用可视化关系图谱直观展示数据关系；支持</w:t>
            </w:r>
            <w:r>
              <w:rPr>
                <w:rFonts w:asciiTheme="minorEastAsia" w:hAnsiTheme="minorEastAsia"/>
                <w:color w:val="000000"/>
                <w:szCs w:val="21"/>
              </w:rPr>
              <w:t>手动绑定</w:t>
            </w:r>
            <w:r>
              <w:rPr>
                <w:rFonts w:hint="eastAsia" w:asciiTheme="minorEastAsia" w:hAnsiTheme="minorEastAsia"/>
                <w:color w:val="000000"/>
                <w:szCs w:val="21"/>
              </w:rPr>
              <w:t>、解绑数据关系；</w:t>
            </w:r>
            <w:r>
              <w:rPr>
                <w:rFonts w:asciiTheme="minorEastAsia" w:hAnsiTheme="minorEastAsia"/>
                <w:color w:val="000000"/>
                <w:szCs w:val="21"/>
              </w:rPr>
              <w:t xml:space="preserve"> </w:t>
            </w:r>
          </w:p>
        </w:tc>
      </w:tr>
      <w:tr w14:paraId="0183E28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Merge w:val="restart"/>
            <w:vAlign w:val="center"/>
          </w:tcPr>
          <w:p w14:paraId="25E3AC01">
            <w:pPr>
              <w:spacing w:line="360" w:lineRule="auto"/>
              <w:rPr>
                <w:rFonts w:hint="eastAsia" w:cs="微软雅黑" w:asciiTheme="minorEastAsia" w:hAnsiTheme="minorEastAsia"/>
                <w:szCs w:val="21"/>
              </w:rPr>
            </w:pPr>
            <w:r>
              <w:rPr>
                <w:rFonts w:hint="eastAsia" w:asciiTheme="minorEastAsia" w:hAnsiTheme="minorEastAsia"/>
                <w:color w:val="000000"/>
                <w:szCs w:val="21"/>
              </w:rPr>
              <w:t>资产梳理</w:t>
            </w:r>
          </w:p>
        </w:tc>
        <w:tc>
          <w:tcPr>
            <w:tcW w:w="4286" w:type="pct"/>
          </w:tcPr>
          <w:p w14:paraId="2A4A5AA3">
            <w:pPr>
              <w:spacing w:line="360" w:lineRule="auto"/>
              <w:jc w:val="left"/>
              <w:rPr>
                <w:rFonts w:hint="eastAsia" w:asciiTheme="minorEastAsia" w:hAnsiTheme="minorEastAsia"/>
                <w:color w:val="000000"/>
                <w:szCs w:val="21"/>
              </w:rPr>
            </w:pPr>
            <w:r>
              <w:rPr>
                <w:rFonts w:hint="eastAsia" w:asciiTheme="minorEastAsia" w:hAnsiTheme="minorEastAsia"/>
                <w:color w:val="000000"/>
                <w:szCs w:val="21"/>
              </w:rPr>
              <w:t>支持配置资产采集作业，支持仅采集元数据，也支持同时采集元数据和样本数据，同时还可配置采集数据范围和采集周期。采集作业状态实时可监控</w:t>
            </w:r>
            <w:r>
              <w:rPr>
                <w:rFonts w:asciiTheme="minorEastAsia" w:hAnsiTheme="minorEastAsia"/>
                <w:color w:val="000000"/>
                <w:szCs w:val="21"/>
              </w:rPr>
              <w:t>;</w:t>
            </w:r>
            <w:r>
              <w:rPr>
                <w:rFonts w:hint="eastAsia" w:asciiTheme="minorEastAsia" w:hAnsiTheme="minorEastAsia"/>
                <w:color w:val="FF0000"/>
                <w:szCs w:val="21"/>
              </w:rPr>
              <w:t xml:space="preserve"> </w:t>
            </w:r>
          </w:p>
        </w:tc>
      </w:tr>
      <w:tr w14:paraId="0623C74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Merge w:val="continue"/>
            <w:vAlign w:val="center"/>
          </w:tcPr>
          <w:p w14:paraId="3B9526AF">
            <w:pPr>
              <w:spacing w:line="360" w:lineRule="auto"/>
              <w:rPr>
                <w:rFonts w:hint="eastAsia" w:asciiTheme="minorEastAsia" w:hAnsiTheme="minorEastAsia"/>
                <w:color w:val="000000"/>
                <w:szCs w:val="21"/>
              </w:rPr>
            </w:pPr>
          </w:p>
        </w:tc>
        <w:tc>
          <w:tcPr>
            <w:tcW w:w="4286" w:type="pct"/>
          </w:tcPr>
          <w:p w14:paraId="63F9EDC7">
            <w:pPr>
              <w:spacing w:line="360" w:lineRule="auto"/>
              <w:jc w:val="left"/>
              <w:rPr>
                <w:rFonts w:hint="eastAsia" w:asciiTheme="minorEastAsia" w:hAnsiTheme="minorEastAsia"/>
                <w:color w:val="000000"/>
                <w:szCs w:val="21"/>
              </w:rPr>
            </w:pPr>
            <w:r>
              <w:rPr>
                <w:rFonts w:hint="eastAsia" w:asciiTheme="minorEastAsia" w:hAnsiTheme="minorEastAsia"/>
                <w:color w:val="000000"/>
                <w:szCs w:val="21"/>
              </w:rPr>
              <w:t>基于采集到的元数据和样本数据信息提供数据清单管理和统计能力。统计数据包括Schema数、表数、字段数等；还支持以时间线方式提供元数据变更记录，以便于用户观测元数据变更趋势</w:t>
            </w:r>
          </w:p>
        </w:tc>
      </w:tr>
      <w:tr w14:paraId="598DBB2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Align w:val="center"/>
          </w:tcPr>
          <w:p w14:paraId="25A1D746">
            <w:pPr>
              <w:spacing w:line="360" w:lineRule="auto"/>
              <w:rPr>
                <w:rFonts w:hint="eastAsia" w:cs="微软雅黑" w:asciiTheme="minorEastAsia" w:hAnsiTheme="minorEastAsia"/>
                <w:szCs w:val="21"/>
              </w:rPr>
            </w:pPr>
            <w:r>
              <w:rPr>
                <w:rFonts w:hint="eastAsia" w:asciiTheme="minorEastAsia" w:hAnsiTheme="minorEastAsia"/>
                <w:color w:val="000000"/>
                <w:szCs w:val="21"/>
              </w:rPr>
              <w:t>元数据报告</w:t>
            </w:r>
          </w:p>
        </w:tc>
        <w:tc>
          <w:tcPr>
            <w:tcW w:w="4286" w:type="pct"/>
          </w:tcPr>
          <w:p w14:paraId="4CCC6D66">
            <w:pPr>
              <w:spacing w:line="360" w:lineRule="auto"/>
              <w:jc w:val="left"/>
              <w:rPr>
                <w:rFonts w:hint="eastAsia" w:asciiTheme="minorEastAsia" w:hAnsiTheme="minorEastAsia"/>
                <w:color w:val="000000"/>
                <w:szCs w:val="21"/>
              </w:rPr>
            </w:pPr>
            <w:r>
              <w:rPr>
                <w:rFonts w:hint="eastAsia" w:asciiTheme="minorEastAsia" w:hAnsiTheme="minorEastAsia"/>
                <w:color w:val="000000"/>
                <w:szCs w:val="21"/>
              </w:rPr>
              <w:t>支持从全部资产、单个资产视角统计分析元数据概况，包括但不限于展示资产数、Schema数、表数、字段数等概览数据，以及元数据注释质量、样本数据概况、各资产中Schema数据量分布、空表分布、元数据变更趋势、数据量变更趋势等；</w:t>
            </w:r>
            <w:r>
              <w:rPr>
                <w:rFonts w:asciiTheme="minorEastAsia" w:hAnsiTheme="minorEastAsia"/>
                <w:color w:val="000000"/>
                <w:szCs w:val="21"/>
              </w:rPr>
              <w:t xml:space="preserve"> </w:t>
            </w:r>
          </w:p>
        </w:tc>
      </w:tr>
      <w:tr w14:paraId="4980AD0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16" w:hRule="atLeast"/>
        </w:trPr>
        <w:tc>
          <w:tcPr>
            <w:tcW w:w="714" w:type="pct"/>
            <w:vMerge w:val="restart"/>
            <w:vAlign w:val="center"/>
          </w:tcPr>
          <w:p w14:paraId="2D515328">
            <w:pPr>
              <w:spacing w:line="360" w:lineRule="auto"/>
              <w:rPr>
                <w:rFonts w:hint="eastAsia" w:cs="微软雅黑" w:asciiTheme="minorEastAsia" w:hAnsiTheme="minorEastAsia"/>
                <w:szCs w:val="21"/>
              </w:rPr>
            </w:pPr>
            <w:r>
              <w:rPr>
                <w:rFonts w:hint="eastAsia" w:asciiTheme="minorEastAsia" w:hAnsiTheme="minorEastAsia"/>
                <w:color w:val="000000"/>
                <w:szCs w:val="21"/>
              </w:rPr>
              <w:t>标准管理</w:t>
            </w:r>
          </w:p>
        </w:tc>
        <w:tc>
          <w:tcPr>
            <w:tcW w:w="4286" w:type="pct"/>
          </w:tcPr>
          <w:p w14:paraId="23F001C5">
            <w:pPr>
              <w:spacing w:line="360" w:lineRule="auto"/>
              <w:jc w:val="left"/>
              <w:rPr>
                <w:rFonts w:hint="eastAsia" w:asciiTheme="minorEastAsia" w:hAnsiTheme="minorEastAsia"/>
                <w:color w:val="000000"/>
                <w:szCs w:val="21"/>
              </w:rPr>
            </w:pPr>
            <w:r>
              <w:rPr>
                <w:rFonts w:hint="eastAsia" w:asciiTheme="minorEastAsia" w:hAnsiTheme="minorEastAsia"/>
                <w:color w:val="000000"/>
                <w:szCs w:val="21"/>
              </w:rPr>
              <w:t>内置医疗行业的分类分级标准；内置的分类分级标准中，应明确各类业务术语的分类分级规则，包括业务术语、业务术语描述、及其所属分类、安全分级等信息；</w:t>
            </w:r>
          </w:p>
        </w:tc>
      </w:tr>
      <w:tr w14:paraId="5E7DF01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Merge w:val="continue"/>
            <w:vAlign w:val="center"/>
          </w:tcPr>
          <w:p w14:paraId="687B6DF6">
            <w:pPr>
              <w:spacing w:line="360" w:lineRule="auto"/>
              <w:rPr>
                <w:rFonts w:hint="eastAsia" w:asciiTheme="minorEastAsia" w:hAnsiTheme="minorEastAsia"/>
                <w:color w:val="000000"/>
                <w:szCs w:val="21"/>
              </w:rPr>
            </w:pPr>
          </w:p>
        </w:tc>
        <w:tc>
          <w:tcPr>
            <w:tcW w:w="4286" w:type="pct"/>
          </w:tcPr>
          <w:p w14:paraId="623676F1">
            <w:pPr>
              <w:spacing w:line="360" w:lineRule="auto"/>
              <w:jc w:val="left"/>
              <w:rPr>
                <w:rFonts w:hint="eastAsia" w:asciiTheme="minorEastAsia" w:hAnsiTheme="minorEastAsia"/>
                <w:color w:val="FF0000"/>
                <w:szCs w:val="21"/>
              </w:rPr>
            </w:pPr>
            <w:r>
              <w:rPr>
                <w:rFonts w:asciiTheme="minorEastAsia" w:hAnsiTheme="minorEastAsia"/>
                <w:color w:val="000000"/>
                <w:szCs w:val="21"/>
              </w:rPr>
              <w:t>支持</w:t>
            </w:r>
            <w:r>
              <w:rPr>
                <w:rFonts w:hint="eastAsia" w:asciiTheme="minorEastAsia" w:hAnsiTheme="minorEastAsia"/>
                <w:color w:val="000000"/>
                <w:szCs w:val="21"/>
              </w:rPr>
              <w:t>对业务术语设置</w:t>
            </w:r>
            <w:r>
              <w:rPr>
                <w:rFonts w:asciiTheme="minorEastAsia" w:hAnsiTheme="minorEastAsia"/>
                <w:color w:val="000000"/>
                <w:szCs w:val="21"/>
              </w:rPr>
              <w:t>固定分级和</w:t>
            </w:r>
            <w:r>
              <w:rPr>
                <w:rFonts w:hint="eastAsia" w:asciiTheme="minorEastAsia" w:hAnsiTheme="minorEastAsia"/>
                <w:color w:val="000000"/>
                <w:szCs w:val="21"/>
              </w:rPr>
              <w:t>多档</w:t>
            </w:r>
            <w:r>
              <w:rPr>
                <w:rFonts w:asciiTheme="minorEastAsia" w:hAnsiTheme="minorEastAsia"/>
                <w:color w:val="000000"/>
                <w:szCs w:val="21"/>
              </w:rPr>
              <w:t>动态分级</w:t>
            </w:r>
            <w:r>
              <w:rPr>
                <w:rFonts w:hint="eastAsia" w:asciiTheme="minorEastAsia" w:hAnsiTheme="minorEastAsia"/>
                <w:color w:val="000000"/>
                <w:szCs w:val="21"/>
              </w:rPr>
              <w:t>规则，</w:t>
            </w:r>
            <w:r>
              <w:rPr>
                <w:rFonts w:asciiTheme="minorEastAsia" w:hAnsiTheme="minorEastAsia"/>
                <w:color w:val="000000"/>
                <w:szCs w:val="21"/>
              </w:rPr>
              <w:t>数据量达到动态分级配置的量级时自动将安全级别上升到配置的级别</w:t>
            </w:r>
            <w:r>
              <w:rPr>
                <w:rFonts w:hint="eastAsia" w:asciiTheme="minorEastAsia" w:hAnsiTheme="minorEastAsia"/>
                <w:color w:val="000000"/>
                <w:szCs w:val="21"/>
              </w:rPr>
              <w:t>，实现根据数据量动态升降安全级别；</w:t>
            </w:r>
            <w:r>
              <w:rPr>
                <w:rFonts w:asciiTheme="minorEastAsia" w:hAnsiTheme="minorEastAsia"/>
                <w:color w:val="FF0000"/>
                <w:szCs w:val="21"/>
              </w:rPr>
              <w:t xml:space="preserve"> </w:t>
            </w:r>
          </w:p>
        </w:tc>
      </w:tr>
      <w:tr w14:paraId="594D55F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Merge w:val="restart"/>
            <w:vAlign w:val="center"/>
          </w:tcPr>
          <w:p w14:paraId="206F80F6">
            <w:pPr>
              <w:spacing w:line="360" w:lineRule="auto"/>
              <w:rPr>
                <w:rFonts w:hint="eastAsia" w:asciiTheme="minorEastAsia" w:hAnsiTheme="minorEastAsia"/>
                <w:color w:val="000000"/>
                <w:szCs w:val="21"/>
              </w:rPr>
            </w:pPr>
            <w:r>
              <w:rPr>
                <w:rFonts w:hint="eastAsia" w:asciiTheme="minorEastAsia" w:hAnsiTheme="minorEastAsia"/>
                <w:color w:val="000000"/>
                <w:szCs w:val="21"/>
              </w:rPr>
              <w:t>语义识别</w:t>
            </w:r>
          </w:p>
        </w:tc>
        <w:tc>
          <w:tcPr>
            <w:tcW w:w="4286" w:type="pct"/>
          </w:tcPr>
          <w:p w14:paraId="70B32D76">
            <w:pPr>
              <w:spacing w:line="360" w:lineRule="auto"/>
              <w:jc w:val="left"/>
              <w:rPr>
                <w:rFonts w:hint="eastAsia" w:asciiTheme="minorEastAsia" w:hAnsiTheme="minorEastAsia"/>
                <w:color w:val="000000"/>
                <w:szCs w:val="21"/>
              </w:rPr>
            </w:pPr>
            <w:r>
              <w:rPr>
                <w:rFonts w:hint="eastAsia" w:asciiTheme="minorEastAsia" w:hAnsiTheme="minorEastAsia"/>
                <w:color w:val="000000"/>
                <w:szCs w:val="21"/>
              </w:rPr>
              <w:t>支持通过规则、NLP翻译、特征工程、大模型、语义向量等多种算法和智能化能力识别字段含义，输出业务术语。</w:t>
            </w:r>
          </w:p>
          <w:p w14:paraId="24E40EBD">
            <w:pPr>
              <w:pStyle w:val="13"/>
              <w:numPr>
                <w:ilvl w:val="0"/>
                <w:numId w:val="5"/>
              </w:numPr>
              <w:spacing w:line="360" w:lineRule="auto"/>
              <w:ind w:firstLineChars="0"/>
              <w:jc w:val="left"/>
              <w:rPr>
                <w:rFonts w:hint="eastAsia" w:asciiTheme="minorEastAsia" w:hAnsiTheme="minorEastAsia"/>
                <w:color w:val="000000"/>
                <w:szCs w:val="21"/>
              </w:rPr>
            </w:pPr>
            <w:bookmarkStart w:id="0" w:name="_Hlk205313754"/>
            <w:r>
              <w:rPr>
                <w:rFonts w:hint="eastAsia" w:asciiTheme="minorEastAsia" w:hAnsiTheme="minorEastAsia"/>
                <w:color w:val="000000"/>
                <w:szCs w:val="21"/>
              </w:rPr>
              <w:t>支持大模型地址配置和状态监控，大模型和语义向量调用记录监控</w:t>
            </w:r>
          </w:p>
          <w:p w14:paraId="5C1640B3">
            <w:pPr>
              <w:pStyle w:val="13"/>
              <w:numPr>
                <w:ilvl w:val="0"/>
                <w:numId w:val="5"/>
              </w:numPr>
              <w:spacing w:line="360" w:lineRule="auto"/>
              <w:ind w:firstLineChars="0"/>
              <w:jc w:val="left"/>
              <w:rPr>
                <w:rFonts w:hint="eastAsia" w:asciiTheme="minorEastAsia" w:hAnsiTheme="minorEastAsia"/>
                <w:color w:val="000000"/>
                <w:szCs w:val="21"/>
              </w:rPr>
            </w:pPr>
            <w:r>
              <w:rPr>
                <w:rFonts w:hint="eastAsia" w:asciiTheme="minorEastAsia" w:hAnsiTheme="minorEastAsia"/>
                <w:color w:val="000000"/>
                <w:szCs w:val="21"/>
              </w:rPr>
              <w:t>支持NLP翻译、特征工程相似度匹配基线配置；</w:t>
            </w:r>
          </w:p>
          <w:bookmarkEnd w:id="0"/>
          <w:p w14:paraId="5CBCFD46">
            <w:pPr>
              <w:pStyle w:val="13"/>
              <w:numPr>
                <w:ilvl w:val="0"/>
                <w:numId w:val="5"/>
              </w:numPr>
              <w:spacing w:line="360" w:lineRule="auto"/>
              <w:ind w:firstLineChars="0"/>
              <w:jc w:val="left"/>
              <w:rPr>
                <w:rFonts w:hint="eastAsia" w:asciiTheme="minorEastAsia" w:hAnsiTheme="minorEastAsia"/>
                <w:color w:val="000000"/>
                <w:szCs w:val="21"/>
              </w:rPr>
            </w:pPr>
            <w:r>
              <w:rPr>
                <w:rFonts w:hint="eastAsia" w:asciiTheme="minorEastAsia" w:hAnsiTheme="minorEastAsia"/>
                <w:color w:val="000000"/>
                <w:szCs w:val="21"/>
              </w:rPr>
              <w:t>支持手动对已确认的作业数据进行学习建模，生成特征工程模型，以提升数据识别能力；</w:t>
            </w:r>
            <w:r>
              <w:rPr>
                <w:rFonts w:asciiTheme="minorEastAsia" w:hAnsiTheme="minorEastAsia"/>
                <w:color w:val="000000"/>
                <w:szCs w:val="21"/>
              </w:rPr>
              <w:t xml:space="preserve"> </w:t>
            </w:r>
          </w:p>
        </w:tc>
      </w:tr>
      <w:tr w14:paraId="60373FC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15" w:hRule="atLeast"/>
        </w:trPr>
        <w:tc>
          <w:tcPr>
            <w:tcW w:w="714" w:type="pct"/>
            <w:vMerge w:val="continue"/>
            <w:vAlign w:val="center"/>
          </w:tcPr>
          <w:p w14:paraId="06E9033D">
            <w:pPr>
              <w:spacing w:line="360" w:lineRule="auto"/>
              <w:rPr>
                <w:rFonts w:hint="eastAsia" w:asciiTheme="minorEastAsia" w:hAnsiTheme="minorEastAsia"/>
                <w:color w:val="000000"/>
                <w:szCs w:val="21"/>
              </w:rPr>
            </w:pPr>
          </w:p>
        </w:tc>
        <w:tc>
          <w:tcPr>
            <w:tcW w:w="4286" w:type="pct"/>
          </w:tcPr>
          <w:p w14:paraId="342DE858">
            <w:pPr>
              <w:spacing w:line="360" w:lineRule="auto"/>
              <w:jc w:val="left"/>
              <w:rPr>
                <w:rFonts w:hint="eastAsia" w:asciiTheme="minorEastAsia" w:hAnsiTheme="minorEastAsia"/>
                <w:color w:val="000000"/>
                <w:szCs w:val="21"/>
              </w:rPr>
            </w:pPr>
            <w:bookmarkStart w:id="1" w:name="_Hlk198045612"/>
            <w:r>
              <w:rPr>
                <w:rFonts w:hint="eastAsia" w:asciiTheme="minorEastAsia" w:hAnsiTheme="minorEastAsia"/>
                <w:color w:val="000000"/>
                <w:szCs w:val="21"/>
              </w:rPr>
              <w:t>系统内置个人信息、组织机构等标签，保障个人信息、组织机构类的数据被精准识别和标记。通过标签便于用户对数据进行多维标</w:t>
            </w:r>
            <w:bookmarkEnd w:id="1"/>
            <w:r>
              <w:rPr>
                <w:rFonts w:hint="eastAsia" w:asciiTheme="minorEastAsia" w:hAnsiTheme="minorEastAsia"/>
                <w:color w:val="000000"/>
                <w:szCs w:val="21"/>
              </w:rPr>
              <w:t>记和管理</w:t>
            </w:r>
          </w:p>
        </w:tc>
      </w:tr>
      <w:tr w14:paraId="3B5DA1D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15" w:hRule="atLeast"/>
        </w:trPr>
        <w:tc>
          <w:tcPr>
            <w:tcW w:w="714" w:type="pct"/>
            <w:vAlign w:val="center"/>
          </w:tcPr>
          <w:p w14:paraId="4295830A">
            <w:pPr>
              <w:spacing w:line="360" w:lineRule="auto"/>
              <w:rPr>
                <w:rFonts w:hint="eastAsia" w:asciiTheme="minorEastAsia" w:hAnsiTheme="minorEastAsia"/>
                <w:color w:val="000000"/>
                <w:szCs w:val="21"/>
              </w:rPr>
            </w:pPr>
            <w:r>
              <w:rPr>
                <w:rFonts w:hint="eastAsia" w:asciiTheme="minorEastAsia" w:hAnsiTheme="minorEastAsia"/>
                <w:color w:val="000000"/>
                <w:szCs w:val="21"/>
              </w:rPr>
              <w:t>AI纠错</w:t>
            </w:r>
            <w:r>
              <w:rPr>
                <w:color w:val="000000"/>
                <w:szCs w:val="21"/>
              </w:rPr>
              <w:t>★</w:t>
            </w:r>
          </w:p>
        </w:tc>
        <w:tc>
          <w:tcPr>
            <w:tcW w:w="4286" w:type="pct"/>
          </w:tcPr>
          <w:p w14:paraId="7CD0EBBF">
            <w:pPr>
              <w:spacing w:line="360" w:lineRule="auto"/>
              <w:rPr>
                <w:rFonts w:hint="eastAsia" w:asciiTheme="minorEastAsia" w:hAnsiTheme="minorEastAsia"/>
                <w:color w:val="000000"/>
                <w:szCs w:val="21"/>
              </w:rPr>
            </w:pPr>
            <w:r>
              <w:rPr>
                <w:rFonts w:hint="eastAsia" w:asciiTheme="minorEastAsia" w:hAnsiTheme="minorEastAsia"/>
                <w:color w:val="000000"/>
                <w:szCs w:val="21"/>
              </w:rPr>
              <w:t>针对分类分级结果，分类分级系统可调用AI大模型能力对结果进行核验，以辅助人工核验工作，减少人工核验工作量。AI纠错任务支持在分类分级作业中配置，配置后系统将在完成分类分级作业后自动进入AI纠错作业，完成后标记AI核验正确的字段。</w:t>
            </w:r>
          </w:p>
          <w:p w14:paraId="75F10BC6">
            <w:pPr>
              <w:pStyle w:val="13"/>
              <w:numPr>
                <w:ilvl w:val="0"/>
                <w:numId w:val="6"/>
              </w:numPr>
              <w:spacing w:line="360" w:lineRule="auto"/>
              <w:ind w:firstLineChars="0"/>
              <w:rPr>
                <w:rFonts w:hint="eastAsia" w:asciiTheme="minorEastAsia" w:hAnsiTheme="minorEastAsia"/>
                <w:color w:val="000000"/>
                <w:szCs w:val="21"/>
              </w:rPr>
            </w:pPr>
            <w:r>
              <w:rPr>
                <w:rFonts w:hint="eastAsia" w:asciiTheme="minorEastAsia" w:hAnsiTheme="minorEastAsia"/>
                <w:color w:val="000000"/>
                <w:szCs w:val="21"/>
              </w:rPr>
              <w:t>AI纠错任务支持在分类分级结果确认页中配置，配置后系统将立即进入AI纠错作业，完成后标记AI核验正确的字段。</w:t>
            </w:r>
          </w:p>
        </w:tc>
      </w:tr>
      <w:tr w14:paraId="3A4BB1E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74" w:hRule="atLeast"/>
        </w:trPr>
        <w:tc>
          <w:tcPr>
            <w:tcW w:w="714" w:type="pct"/>
            <w:vAlign w:val="center"/>
          </w:tcPr>
          <w:p w14:paraId="12169923">
            <w:pPr>
              <w:spacing w:line="360" w:lineRule="auto"/>
              <w:rPr>
                <w:rFonts w:hint="eastAsia" w:asciiTheme="minorEastAsia" w:hAnsiTheme="minorEastAsia"/>
                <w:color w:val="000000"/>
                <w:szCs w:val="21"/>
              </w:rPr>
            </w:pPr>
            <w:r>
              <w:rPr>
                <w:rFonts w:hint="eastAsia" w:asciiTheme="minorEastAsia" w:hAnsiTheme="minorEastAsia"/>
                <w:color w:val="000000"/>
                <w:szCs w:val="21"/>
              </w:rPr>
              <w:t>分类分级</w:t>
            </w:r>
          </w:p>
          <w:p w14:paraId="07FD9A00">
            <w:pPr>
              <w:spacing w:line="360" w:lineRule="auto"/>
              <w:rPr>
                <w:rFonts w:hint="eastAsia" w:asciiTheme="minorEastAsia" w:hAnsiTheme="minorEastAsia"/>
                <w:color w:val="000000"/>
                <w:szCs w:val="21"/>
              </w:rPr>
            </w:pPr>
            <w:r>
              <w:rPr>
                <w:rFonts w:hint="eastAsia" w:asciiTheme="minorEastAsia" w:hAnsiTheme="minorEastAsia"/>
                <w:color w:val="000000"/>
                <w:szCs w:val="21"/>
              </w:rPr>
              <w:t>目录</w:t>
            </w:r>
            <w:r>
              <w:rPr>
                <w:color w:val="000000"/>
                <w:szCs w:val="21"/>
              </w:rPr>
              <w:t>★</w:t>
            </w:r>
          </w:p>
        </w:tc>
        <w:tc>
          <w:tcPr>
            <w:tcW w:w="4286" w:type="pct"/>
          </w:tcPr>
          <w:p w14:paraId="2709B404">
            <w:pPr>
              <w:spacing w:line="360" w:lineRule="auto"/>
              <w:jc w:val="left"/>
              <w:rPr>
                <w:rFonts w:hint="eastAsia" w:asciiTheme="minorEastAsia" w:hAnsiTheme="minorEastAsia"/>
                <w:color w:val="000000"/>
                <w:szCs w:val="21"/>
              </w:rPr>
            </w:pPr>
            <w:r>
              <w:rPr>
                <w:rFonts w:hint="eastAsia" w:asciiTheme="minorEastAsia" w:hAnsiTheme="minorEastAsia"/>
                <w:color w:val="000000"/>
                <w:szCs w:val="21"/>
              </w:rPr>
              <w:t>支持从资产视角、业务系统视角、部门视角，查看分类分级结果；支持进一步从表、字段视角，查看分类分级结果，并支持导出结果至本地；</w:t>
            </w:r>
            <w:r>
              <w:rPr>
                <w:rFonts w:asciiTheme="minorEastAsia" w:hAnsiTheme="minorEastAsia"/>
                <w:color w:val="000000"/>
                <w:szCs w:val="21"/>
              </w:rPr>
              <w:t xml:space="preserve"> </w:t>
            </w:r>
          </w:p>
        </w:tc>
      </w:tr>
      <w:tr w14:paraId="673A72C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Align w:val="center"/>
          </w:tcPr>
          <w:p w14:paraId="04F4CA75">
            <w:pPr>
              <w:spacing w:line="360" w:lineRule="auto"/>
              <w:rPr>
                <w:rFonts w:hint="eastAsia" w:asciiTheme="minorEastAsia" w:hAnsiTheme="minorEastAsia"/>
                <w:color w:val="000000"/>
                <w:szCs w:val="21"/>
              </w:rPr>
            </w:pPr>
            <w:r>
              <w:rPr>
                <w:rFonts w:hint="eastAsia" w:asciiTheme="minorEastAsia" w:hAnsiTheme="minorEastAsia"/>
                <w:color w:val="000000"/>
                <w:szCs w:val="21"/>
              </w:rPr>
              <w:t>分类分级</w:t>
            </w:r>
          </w:p>
          <w:p w14:paraId="3E078E52">
            <w:pPr>
              <w:spacing w:line="360" w:lineRule="auto"/>
              <w:rPr>
                <w:rFonts w:hint="eastAsia" w:asciiTheme="minorEastAsia" w:hAnsiTheme="minorEastAsia"/>
                <w:color w:val="000000"/>
                <w:szCs w:val="21"/>
              </w:rPr>
            </w:pPr>
            <w:r>
              <w:rPr>
                <w:rFonts w:hint="eastAsia" w:asciiTheme="minorEastAsia" w:hAnsiTheme="minorEastAsia"/>
                <w:color w:val="000000"/>
                <w:szCs w:val="21"/>
              </w:rPr>
              <w:t>大屏</w:t>
            </w:r>
          </w:p>
        </w:tc>
        <w:tc>
          <w:tcPr>
            <w:tcW w:w="4286" w:type="pct"/>
          </w:tcPr>
          <w:p w14:paraId="42EBB2E2">
            <w:pPr>
              <w:spacing w:line="360" w:lineRule="auto"/>
              <w:jc w:val="left"/>
              <w:rPr>
                <w:rFonts w:hint="eastAsia" w:asciiTheme="minorEastAsia" w:hAnsiTheme="minorEastAsia"/>
                <w:color w:val="000000"/>
                <w:szCs w:val="21"/>
                <w:highlight w:val="yellow"/>
              </w:rPr>
            </w:pPr>
            <w:r>
              <w:rPr>
                <w:rFonts w:hint="eastAsia" w:asciiTheme="minorEastAsia" w:hAnsiTheme="minorEastAsia"/>
                <w:color w:val="000000"/>
                <w:szCs w:val="21"/>
              </w:rPr>
              <w:t>提供单个标准的分类分类结果可视化大屏，包括资产概况（资产、表、字段、资产类型等分布）、元数据概况（元数据完整度、数据量分布）、分类TOP10、分级分布、业务术语TOP10、标签数据分布和分类分级作业复核记录等；支持通过切换标准，查看对应标准下的分类分级可视化大屏。</w:t>
            </w:r>
          </w:p>
        </w:tc>
      </w:tr>
      <w:tr w14:paraId="0663857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714" w:type="pct"/>
            <w:vAlign w:val="center"/>
          </w:tcPr>
          <w:p w14:paraId="4852EF20">
            <w:pPr>
              <w:spacing w:line="360" w:lineRule="auto"/>
              <w:rPr>
                <w:rFonts w:hint="eastAsia" w:asciiTheme="minorEastAsia" w:hAnsiTheme="minorEastAsia"/>
                <w:color w:val="000000"/>
                <w:szCs w:val="21"/>
              </w:rPr>
            </w:pPr>
            <w:r>
              <w:rPr>
                <w:rFonts w:hint="eastAsia" w:asciiTheme="minorEastAsia" w:hAnsiTheme="minorEastAsia"/>
                <w:color w:val="000000"/>
                <w:szCs w:val="21"/>
              </w:rPr>
              <w:t>分类分级</w:t>
            </w:r>
          </w:p>
          <w:p w14:paraId="30AC717F">
            <w:pPr>
              <w:spacing w:line="360" w:lineRule="auto"/>
              <w:rPr>
                <w:rFonts w:hint="eastAsia" w:asciiTheme="minorEastAsia" w:hAnsiTheme="minorEastAsia"/>
                <w:color w:val="000000"/>
                <w:szCs w:val="21"/>
              </w:rPr>
            </w:pPr>
            <w:r>
              <w:rPr>
                <w:rFonts w:hint="eastAsia" w:asciiTheme="minorEastAsia" w:hAnsiTheme="minorEastAsia"/>
                <w:color w:val="000000"/>
                <w:szCs w:val="21"/>
              </w:rPr>
              <w:t>接口</w:t>
            </w:r>
            <w:r>
              <w:rPr>
                <w:color w:val="000000"/>
                <w:szCs w:val="21"/>
              </w:rPr>
              <w:t>★</w:t>
            </w:r>
          </w:p>
        </w:tc>
        <w:tc>
          <w:tcPr>
            <w:tcW w:w="4286" w:type="pct"/>
          </w:tcPr>
          <w:p w14:paraId="628AEAEE">
            <w:pPr>
              <w:spacing w:line="360" w:lineRule="auto"/>
              <w:jc w:val="left"/>
              <w:rPr>
                <w:rFonts w:hint="eastAsia" w:asciiTheme="minorEastAsia" w:hAnsiTheme="minorEastAsia"/>
                <w:color w:val="000000"/>
                <w:szCs w:val="21"/>
              </w:rPr>
            </w:pPr>
            <w:r>
              <w:rPr>
                <w:rFonts w:hint="eastAsia" w:asciiTheme="minorEastAsia" w:hAnsiTheme="minorEastAsia"/>
                <w:color w:val="000000"/>
                <w:szCs w:val="21"/>
              </w:rPr>
              <w:t>提供资产列表、分类分级标准列表、作业信息、分类分级结果等标准OpenAPI接口及调用说明；支持对三方脱敏、加密等系统联动实现精细化管控</w:t>
            </w:r>
            <w:r>
              <w:rPr>
                <w:rFonts w:asciiTheme="minorEastAsia" w:hAnsiTheme="minorEastAsia"/>
                <w:szCs w:val="21"/>
              </w:rPr>
              <w:t>,</w:t>
            </w:r>
            <w:r>
              <w:rPr>
                <w:rFonts w:hint="eastAsia" w:asciiTheme="minorEastAsia" w:hAnsiTheme="minorEastAsia"/>
                <w:szCs w:val="21"/>
              </w:rPr>
              <w:t>同时支持现有产品的数据库监控统一接口登录，实现资产和性能监控。</w:t>
            </w:r>
          </w:p>
        </w:tc>
      </w:tr>
      <w:tr w14:paraId="0D1D43E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5" w:hRule="atLeast"/>
        </w:trPr>
        <w:tc>
          <w:tcPr>
            <w:tcW w:w="5000" w:type="pct"/>
            <w:gridSpan w:val="2"/>
            <w:vAlign w:val="center"/>
          </w:tcPr>
          <w:p w14:paraId="2AD01E0B">
            <w:pPr>
              <w:spacing w:line="360" w:lineRule="auto"/>
              <w:jc w:val="left"/>
              <w:rPr>
                <w:rFonts w:hint="eastAsia" w:asciiTheme="minorEastAsia" w:hAnsiTheme="minorEastAsia"/>
                <w:color w:val="000000"/>
                <w:szCs w:val="21"/>
              </w:rPr>
            </w:pPr>
            <w:r>
              <w:rPr>
                <w:color w:val="000000"/>
                <w:szCs w:val="21"/>
              </w:rPr>
              <w:t>★</w:t>
            </w:r>
            <w:r>
              <w:rPr>
                <w:rFonts w:hint="eastAsia" w:asciiTheme="minorEastAsia" w:hAnsiTheme="minorEastAsia"/>
                <w:color w:val="000000"/>
                <w:szCs w:val="21"/>
              </w:rPr>
              <w:t>参加调研单位需要提供以上技术参数的技术偏离证明材料（技术白皮书或者截图证明），五角星项需要完全满足，并承诺中标后签订合同前提供以上技术参数的逐条功能验证，否则视为不满足招标要求。</w:t>
            </w:r>
          </w:p>
        </w:tc>
      </w:tr>
    </w:tbl>
    <w:p w14:paraId="4B8C4B88">
      <w:pPr>
        <w:pStyle w:val="3"/>
        <w:rPr>
          <w:rFonts w:hint="eastAsia"/>
        </w:rPr>
      </w:pPr>
      <w:r>
        <w:rPr>
          <w:rFonts w:hint="eastAsia"/>
        </w:rPr>
        <w:t>3</w:t>
      </w:r>
      <w:r>
        <w:t xml:space="preserve">.2 </w:t>
      </w:r>
      <w:r>
        <w:rPr>
          <w:rFonts w:hint="eastAsia"/>
        </w:rPr>
        <w:t>数据安全分类分级交付服务要求</w:t>
      </w:r>
    </w:p>
    <w:tbl>
      <w:tblPr>
        <w:tblStyle w:val="14"/>
        <w:tblW w:w="5000" w:type="pct"/>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159"/>
        <w:gridCol w:w="7363"/>
      </w:tblGrid>
      <w:tr w14:paraId="1710F65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680" w:type="pct"/>
            <w:shd w:val="clear" w:color="auto" w:fill="92D050"/>
            <w:vAlign w:val="center"/>
          </w:tcPr>
          <w:p w14:paraId="603A90DF">
            <w:pPr>
              <w:spacing w:line="360" w:lineRule="auto"/>
              <w:rPr>
                <w:rFonts w:hint="eastAsia"/>
                <w:b/>
              </w:rPr>
            </w:pPr>
            <w:r>
              <w:rPr>
                <w:rFonts w:hint="eastAsia"/>
                <w:b/>
              </w:rPr>
              <w:t>指标项</w:t>
            </w:r>
          </w:p>
        </w:tc>
        <w:tc>
          <w:tcPr>
            <w:tcW w:w="4320" w:type="pct"/>
            <w:shd w:val="clear" w:color="auto" w:fill="92D050"/>
          </w:tcPr>
          <w:p w14:paraId="41D4AD81">
            <w:pPr>
              <w:spacing w:line="360" w:lineRule="auto"/>
              <w:rPr>
                <w:rFonts w:hint="eastAsia"/>
                <w:b/>
              </w:rPr>
            </w:pPr>
            <w:r>
              <w:rPr>
                <w:rFonts w:hint="eastAsia"/>
                <w:b/>
              </w:rPr>
              <w:t>指标要求</w:t>
            </w:r>
          </w:p>
        </w:tc>
      </w:tr>
      <w:tr w14:paraId="0F2B709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680" w:type="pct"/>
            <w:vAlign w:val="center"/>
          </w:tcPr>
          <w:p w14:paraId="00C67412">
            <w:pPr>
              <w:spacing w:line="360" w:lineRule="auto"/>
              <w:rPr>
                <w:rFonts w:hint="eastAsia"/>
              </w:rPr>
            </w:pPr>
            <w:r>
              <w:rPr>
                <w:rFonts w:hint="eastAsia"/>
              </w:rPr>
              <w:t>交付服务要求</w:t>
            </w:r>
          </w:p>
        </w:tc>
        <w:tc>
          <w:tcPr>
            <w:tcW w:w="4320" w:type="pct"/>
          </w:tcPr>
          <w:p w14:paraId="585F8691">
            <w:pPr>
              <w:spacing w:line="360" w:lineRule="auto"/>
              <w:rPr>
                <w:rFonts w:hint="eastAsia"/>
              </w:rPr>
            </w:pPr>
            <w:r>
              <w:t>1、需采用“人工+工具”的形式对省第二中医院HIS、</w:t>
            </w:r>
            <w:r>
              <w:rPr>
                <w:rFonts w:hint="eastAsia"/>
              </w:rPr>
              <w:t>L</w:t>
            </w:r>
            <w:r>
              <w:t>IS</w:t>
            </w:r>
            <w:r>
              <w:rPr>
                <w:rFonts w:hint="eastAsia"/>
              </w:rPr>
              <w:t>、</w:t>
            </w:r>
            <w:r>
              <w:t>EMR、</w:t>
            </w:r>
            <w:r>
              <w:rPr>
                <w:rFonts w:hint="eastAsia"/>
              </w:rPr>
              <w:t>集成平台系统</w:t>
            </w:r>
            <w:r>
              <w:t>、影像中心系统</w:t>
            </w:r>
            <w:r>
              <w:rPr>
                <w:rFonts w:hint="eastAsia"/>
              </w:rPr>
              <w:t>、移动护理系统</w:t>
            </w:r>
            <w:r>
              <w:t>等6个业务系统提供数据分级分类服务。</w:t>
            </w:r>
          </w:p>
          <w:p w14:paraId="63BA5313">
            <w:pPr>
              <w:spacing w:line="360" w:lineRule="auto"/>
              <w:rPr>
                <w:rFonts w:hint="eastAsia"/>
              </w:rPr>
            </w:pPr>
            <w:r>
              <w:t>2、数据分类分级从数据资产、安全资产占比，基于源/库维度进行命中率分析排名，对源/库对应脏数据、空数据的统计排名，对于业务术语命中率排名等，输出《资产发现报告》。</w:t>
            </w:r>
          </w:p>
          <w:p w14:paraId="7E11E281">
            <w:pPr>
              <w:spacing w:line="360" w:lineRule="auto"/>
              <w:rPr>
                <w:rFonts w:hint="eastAsia"/>
              </w:rPr>
            </w:pPr>
            <w:r>
              <w:t>3、根据数据分类分级策略，落实细化到规则后通过分类分级工具实现对评估范围内的数据结构进行探查，包括初次扫描发现、人工校验、发现规则优化、再次扫描发现等。以安全数据分布、安全风险指数统计、重要数据/个人信息分布等维度输出《数据分类分级报告》。</w:t>
            </w:r>
          </w:p>
        </w:tc>
      </w:tr>
      <w:tr w14:paraId="180B5CE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680" w:type="pct"/>
            <w:vAlign w:val="center"/>
          </w:tcPr>
          <w:p w14:paraId="108A2E57">
            <w:pPr>
              <w:spacing w:line="360" w:lineRule="auto"/>
              <w:rPr>
                <w:rFonts w:hint="eastAsia"/>
              </w:rPr>
            </w:pPr>
            <w:r>
              <w:rPr>
                <w:rFonts w:hint="eastAsia"/>
              </w:rPr>
              <w:t>质保及运维响应服务</w:t>
            </w:r>
          </w:p>
        </w:tc>
        <w:tc>
          <w:tcPr>
            <w:tcW w:w="4320" w:type="pct"/>
          </w:tcPr>
          <w:p w14:paraId="346BC203">
            <w:pPr>
              <w:spacing w:line="360" w:lineRule="auto"/>
              <w:rPr>
                <w:rFonts w:hint="eastAsia"/>
              </w:rPr>
            </w:pPr>
            <w:r>
              <w:rPr>
                <w:rFonts w:hint="eastAsia"/>
              </w:rPr>
              <w:t>1、本项目中涉及的数据安全分类分级系统，由原厂提供三年质保，在质保期内，对于该系统，原厂需要提供相应的技术支持，如补丁、升级、BUG处理等；</w:t>
            </w:r>
          </w:p>
          <w:p w14:paraId="7D3DAFB7">
            <w:pPr>
              <w:spacing w:line="360" w:lineRule="auto"/>
              <w:rPr>
                <w:rFonts w:hint="eastAsia"/>
              </w:rPr>
            </w:pPr>
            <w:r>
              <w:rPr>
                <w:rFonts w:hint="eastAsia"/>
              </w:rPr>
              <w:t>2、本项目中涉及的数据安全分类分级系统及服务，均由原厂工程师进行安装、部署、配置、调优等工作，且该系统试运行期间，原厂工程师需能够随时提供技术支持服务；</w:t>
            </w:r>
          </w:p>
          <w:p w14:paraId="007C393C">
            <w:pPr>
              <w:spacing w:line="360" w:lineRule="auto"/>
              <w:rPr>
                <w:rFonts w:hint="eastAsia"/>
              </w:rPr>
            </w:pPr>
            <w:r>
              <w:rPr>
                <w:rFonts w:hint="eastAsia"/>
              </w:rPr>
              <w:t>3、本项目中参加调研的单位，单位注册地需在本地（南京市），且在本地设立技术支持和售后服务机构，并有足够的人员来保证技术支持和售后服务，服务级别为：提供7*24小时的技术响应和一小时内到达现场的本地化上门维护升级服务。</w:t>
            </w:r>
          </w:p>
          <w:p w14:paraId="4F9E4895">
            <w:pPr>
              <w:spacing w:line="360" w:lineRule="auto"/>
              <w:ind w:firstLine="420" w:firstLineChars="200"/>
              <w:rPr>
                <w:rFonts w:hint="eastAsia"/>
                <w:b/>
                <w:bCs/>
                <w:color w:val="EE0000"/>
              </w:rPr>
            </w:pPr>
            <w:r>
              <w:rPr>
                <w:rFonts w:hint="eastAsia"/>
                <w:b/>
                <w:bCs/>
                <w:color w:val="EE0000"/>
              </w:rPr>
              <w:t>为保障本次数据安全分类分级服务的顺利开展进行，项目团队成员需满足如下要求：</w:t>
            </w:r>
          </w:p>
          <w:p w14:paraId="065359B8">
            <w:pPr>
              <w:spacing w:line="360" w:lineRule="auto"/>
              <w:rPr>
                <w:rFonts w:hint="eastAsia"/>
                <w:b/>
                <w:bCs/>
                <w:color w:val="EE0000"/>
              </w:rPr>
            </w:pPr>
            <w:r>
              <w:rPr>
                <w:rFonts w:hint="eastAsia"/>
                <w:b/>
                <w:bCs/>
                <w:color w:val="EE0000"/>
              </w:rPr>
              <w:t>（</w:t>
            </w:r>
            <w:r>
              <w:rPr>
                <w:b/>
                <w:bCs/>
                <w:color w:val="EE0000"/>
              </w:rPr>
              <w:t>1）拟派原厂</w:t>
            </w:r>
            <w:r>
              <w:rPr>
                <w:rFonts w:hint="eastAsia"/>
                <w:b/>
                <w:bCs/>
                <w:color w:val="EE0000"/>
              </w:rPr>
              <w:t>现场</w:t>
            </w:r>
            <w:r>
              <w:rPr>
                <w:b/>
                <w:bCs/>
                <w:color w:val="EE0000"/>
              </w:rPr>
              <w:t>项目经理</w:t>
            </w:r>
            <w:r>
              <w:rPr>
                <w:rFonts w:hint="eastAsia"/>
                <w:b/>
                <w:bCs/>
                <w:color w:val="EE0000"/>
              </w:rPr>
              <w:t>（至少1人）</w:t>
            </w:r>
            <w:r>
              <w:rPr>
                <w:b/>
                <w:bCs/>
                <w:color w:val="EE0000"/>
              </w:rPr>
              <w:t>应同时满足以下要求：</w:t>
            </w:r>
          </w:p>
          <w:p w14:paraId="46A5964D">
            <w:pPr>
              <w:spacing w:line="360" w:lineRule="auto"/>
              <w:rPr>
                <w:rFonts w:hint="eastAsia"/>
                <w:b/>
                <w:bCs/>
                <w:color w:val="EE0000"/>
              </w:rPr>
            </w:pPr>
            <w:r>
              <w:rPr>
                <w:b/>
                <w:bCs/>
                <w:color w:val="EE0000"/>
              </w:rPr>
              <w:t>1、具有项目管理专业人士认证证书（PMP）证书；</w:t>
            </w:r>
          </w:p>
          <w:p w14:paraId="5983D320">
            <w:pPr>
              <w:spacing w:line="360" w:lineRule="auto"/>
              <w:rPr>
                <w:rFonts w:hint="eastAsia"/>
                <w:b/>
                <w:bCs/>
                <w:color w:val="EE0000"/>
              </w:rPr>
            </w:pPr>
            <w:r>
              <w:rPr>
                <w:b/>
                <w:bCs/>
                <w:color w:val="EE0000"/>
              </w:rPr>
              <w:t>2、具有数据安全能力成熟模型（DSMM）测评师证书；</w:t>
            </w:r>
          </w:p>
          <w:p w14:paraId="31475395">
            <w:pPr>
              <w:spacing w:line="360" w:lineRule="auto"/>
              <w:rPr>
                <w:rFonts w:hint="eastAsia"/>
                <w:b/>
                <w:bCs/>
                <w:color w:val="EE0000"/>
              </w:rPr>
            </w:pPr>
            <w:r>
              <w:rPr>
                <w:b/>
                <w:bCs/>
                <w:color w:val="EE0000"/>
              </w:rPr>
              <w:t>3、具有Oracle 职业认证（Oracle OCM）证书。</w:t>
            </w:r>
          </w:p>
          <w:p w14:paraId="185E569E">
            <w:pPr>
              <w:spacing w:line="360" w:lineRule="auto"/>
              <w:rPr>
                <w:rFonts w:hint="eastAsia"/>
                <w:b/>
                <w:bCs/>
                <w:color w:val="EE0000"/>
              </w:rPr>
            </w:pPr>
            <w:r>
              <w:rPr>
                <w:rFonts w:hint="eastAsia"/>
                <w:b/>
                <w:bCs/>
                <w:color w:val="EE0000"/>
              </w:rPr>
              <w:t>（</w:t>
            </w:r>
            <w:r>
              <w:rPr>
                <w:b/>
                <w:bCs/>
                <w:color w:val="EE0000"/>
              </w:rPr>
              <w:t>2）拟派原厂</w:t>
            </w:r>
            <w:r>
              <w:rPr>
                <w:rFonts w:hint="eastAsia"/>
                <w:b/>
                <w:bCs/>
                <w:color w:val="EE0000"/>
              </w:rPr>
              <w:t>现场售后工程师（至少1人）</w:t>
            </w:r>
            <w:r>
              <w:rPr>
                <w:b/>
                <w:bCs/>
                <w:color w:val="EE0000"/>
              </w:rPr>
              <w:t>应同时满足以下要求：</w:t>
            </w:r>
          </w:p>
          <w:p w14:paraId="762DBCEB">
            <w:pPr>
              <w:spacing w:line="360" w:lineRule="auto"/>
              <w:rPr>
                <w:rFonts w:hint="eastAsia"/>
                <w:b/>
                <w:bCs/>
                <w:color w:val="EE0000"/>
              </w:rPr>
            </w:pPr>
            <w:r>
              <w:rPr>
                <w:b/>
                <w:bCs/>
                <w:color w:val="EE0000"/>
              </w:rPr>
              <w:t>1、具有具有个人信息保护专业人员（CCRC）证书；</w:t>
            </w:r>
          </w:p>
          <w:p w14:paraId="53B57530">
            <w:pPr>
              <w:spacing w:line="360" w:lineRule="auto"/>
              <w:rPr>
                <w:rFonts w:hint="eastAsia"/>
                <w:b/>
                <w:bCs/>
                <w:color w:val="EE0000"/>
              </w:rPr>
            </w:pPr>
            <w:r>
              <w:rPr>
                <w:b/>
                <w:bCs/>
                <w:color w:val="EE0000"/>
              </w:rPr>
              <w:t>2、具有DPO数据保护官认证；</w:t>
            </w:r>
          </w:p>
          <w:p w14:paraId="648B66B0">
            <w:pPr>
              <w:spacing w:line="360" w:lineRule="auto"/>
              <w:rPr>
                <w:rFonts w:hint="eastAsia"/>
                <w:b/>
                <w:bCs/>
                <w:color w:val="EE0000"/>
              </w:rPr>
            </w:pPr>
            <w:r>
              <w:rPr>
                <w:b/>
                <w:bCs/>
                <w:color w:val="EE0000"/>
              </w:rPr>
              <w:t>3、具有ISO27001 Foundation信息技术安全管理认证。</w:t>
            </w:r>
          </w:p>
          <w:p w14:paraId="2C8476E1">
            <w:pPr>
              <w:spacing w:line="360" w:lineRule="auto"/>
              <w:rPr>
                <w:rFonts w:hint="eastAsia"/>
                <w:b/>
                <w:bCs/>
                <w:color w:val="EE0000"/>
              </w:rPr>
            </w:pPr>
            <w:r>
              <w:rPr>
                <w:rFonts w:hint="eastAsia"/>
                <w:b/>
                <w:bCs/>
                <w:color w:val="EE0000"/>
              </w:rPr>
              <w:t>（3）拟派原厂现场分类分级服务专家(至少 1人)应同时满足以下要求:</w:t>
            </w:r>
          </w:p>
          <w:p w14:paraId="70D171D3">
            <w:pPr>
              <w:spacing w:line="360" w:lineRule="auto"/>
              <w:rPr>
                <w:rFonts w:hint="eastAsia"/>
                <w:b/>
                <w:bCs/>
                <w:color w:val="EE0000"/>
              </w:rPr>
            </w:pPr>
            <w:r>
              <w:rPr>
                <w:rFonts w:hint="eastAsia"/>
                <w:b/>
                <w:bCs/>
                <w:color w:val="EE0000"/>
              </w:rPr>
              <w:t>1、具有高级信息系统项目管理师资质证书；</w:t>
            </w:r>
          </w:p>
          <w:p w14:paraId="2E088E8F">
            <w:pPr>
              <w:spacing w:line="360" w:lineRule="auto"/>
              <w:rPr>
                <w:rFonts w:hint="eastAsia"/>
                <w:b/>
                <w:bCs/>
                <w:color w:val="EE0000"/>
              </w:rPr>
            </w:pPr>
            <w:r>
              <w:rPr>
                <w:rFonts w:hint="eastAsia"/>
                <w:b/>
                <w:bCs/>
                <w:color w:val="EE0000"/>
              </w:rPr>
              <w:t>2、具有CISSP信息安全认证资质证书；</w:t>
            </w:r>
          </w:p>
          <w:p w14:paraId="202073E8">
            <w:pPr>
              <w:spacing w:line="360" w:lineRule="auto"/>
              <w:rPr>
                <w:rFonts w:hint="eastAsia"/>
                <w:b/>
                <w:bCs/>
                <w:color w:val="EE0000"/>
              </w:rPr>
            </w:pPr>
            <w:r>
              <w:rPr>
                <w:rFonts w:hint="eastAsia"/>
                <w:b/>
                <w:bCs/>
                <w:color w:val="EE0000"/>
              </w:rPr>
              <w:t>3、具有DSMM数据安全能力测评能力证书；</w:t>
            </w:r>
            <w:bookmarkStart w:id="2" w:name="_GoBack"/>
            <w:bookmarkEnd w:id="2"/>
          </w:p>
        </w:tc>
      </w:tr>
      <w:tr w14:paraId="2149874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680" w:type="pct"/>
            <w:vAlign w:val="center"/>
          </w:tcPr>
          <w:p w14:paraId="1994CB6B">
            <w:pPr>
              <w:spacing w:line="360" w:lineRule="auto"/>
              <w:rPr>
                <w:rFonts w:hint="eastAsia"/>
              </w:rPr>
            </w:pPr>
            <w:r>
              <w:rPr>
                <w:rFonts w:hint="eastAsia"/>
              </w:rPr>
              <w:t>培训要求</w:t>
            </w:r>
          </w:p>
        </w:tc>
        <w:tc>
          <w:tcPr>
            <w:tcW w:w="4320" w:type="pct"/>
          </w:tcPr>
          <w:p w14:paraId="7C4C96FE">
            <w:pPr>
              <w:spacing w:line="360" w:lineRule="auto"/>
              <w:rPr>
                <w:rFonts w:hint="eastAsia"/>
              </w:rPr>
            </w:pPr>
            <w:r>
              <w:rPr>
                <w:rFonts w:hint="eastAsia"/>
              </w:rPr>
              <w:t>项目实施结束后，在接到采购人培训指令时，应在采购人规定的时间到达培训地点，对采购人相关管理人员进行免费现场培训</w:t>
            </w:r>
            <w:r>
              <w:t>,提供不少于 3人/天的培训，采购人经过培训后，应能熟练掌握使用方法，独立完成日常的维护工作，掌握日常运行情况并能及时了解并排除大部分的日常故障。</w:t>
            </w:r>
          </w:p>
        </w:tc>
      </w:tr>
      <w:tr w14:paraId="4C22AA6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680" w:type="pct"/>
            <w:vAlign w:val="center"/>
          </w:tcPr>
          <w:p w14:paraId="1CD7BC7C">
            <w:pPr>
              <w:spacing w:line="360" w:lineRule="auto"/>
              <w:rPr>
                <w:rFonts w:hint="eastAsia"/>
              </w:rPr>
            </w:pPr>
            <w:r>
              <w:rPr>
                <w:rFonts w:hint="eastAsia"/>
              </w:rPr>
              <w:t>资质要求</w:t>
            </w:r>
          </w:p>
        </w:tc>
        <w:tc>
          <w:tcPr>
            <w:tcW w:w="4320" w:type="pct"/>
          </w:tcPr>
          <w:p w14:paraId="1B66A708">
            <w:pPr>
              <w:spacing w:line="360" w:lineRule="auto"/>
              <w:rPr>
                <w:rFonts w:hint="eastAsia"/>
              </w:rPr>
            </w:pPr>
            <w:r>
              <w:rPr>
                <w:rFonts w:hint="eastAsia"/>
              </w:rPr>
              <w:t>调研方必须是生产厂家或取得厂家授权的代理商，调研时代理商需提供原厂针对此项目的授权函；</w:t>
            </w:r>
          </w:p>
        </w:tc>
      </w:tr>
    </w:tbl>
    <w:p w14:paraId="48DF7EE9">
      <w:pPr>
        <w:pStyle w:val="2"/>
        <w:numPr>
          <w:ilvl w:val="0"/>
          <w:numId w:val="1"/>
        </w:numPr>
        <w:rPr>
          <w:rFonts w:hint="eastAsia"/>
        </w:rPr>
      </w:pPr>
      <w:r>
        <w:rPr>
          <w:rFonts w:hint="eastAsia"/>
        </w:rPr>
        <w:t>项目实施要求</w:t>
      </w:r>
    </w:p>
    <w:p w14:paraId="06038D82">
      <w:pPr>
        <w:ind w:firstLine="420" w:firstLineChars="200"/>
        <w:rPr>
          <w:rFonts w:hint="eastAsia"/>
        </w:rPr>
      </w:pPr>
      <w:r>
        <w:rPr>
          <w:rFonts w:hint="eastAsia"/>
        </w:rPr>
        <w:t>项目实施时间：合同签订之日起三个月内完成项目交付。</w:t>
      </w:r>
    </w:p>
    <w:p w14:paraId="245B533B">
      <w:pPr>
        <w:pStyle w:val="2"/>
        <w:numPr>
          <w:ilvl w:val="0"/>
          <w:numId w:val="1"/>
        </w:numPr>
        <w:rPr>
          <w:rFonts w:hint="eastAsia"/>
        </w:rPr>
      </w:pPr>
      <w:r>
        <w:rPr>
          <w:rFonts w:hint="eastAsia"/>
        </w:rPr>
        <w:t>付款条件</w:t>
      </w:r>
    </w:p>
    <w:p w14:paraId="6565BB3B">
      <w:pPr>
        <w:ind w:firstLine="420" w:firstLineChars="200"/>
        <w:rPr>
          <w:rFonts w:hint="eastAsia"/>
        </w:rPr>
      </w:pPr>
      <w:r>
        <w:rPr>
          <w:rFonts w:hint="eastAsia"/>
        </w:rPr>
        <w:t>验收合格后，支付合同总额的90%，一年后支付合同金额10%。</w:t>
      </w:r>
    </w:p>
    <w:p w14:paraId="2A225705">
      <w:pPr>
        <w:pStyle w:val="2"/>
        <w:numPr>
          <w:ilvl w:val="0"/>
          <w:numId w:val="1"/>
        </w:numPr>
        <w:rPr>
          <w:rFonts w:hint="eastAsia"/>
        </w:rPr>
      </w:pPr>
      <w:r>
        <w:rPr>
          <w:rFonts w:hint="eastAsia"/>
        </w:rPr>
        <w:t>现场调研</w:t>
      </w:r>
    </w:p>
    <w:p w14:paraId="04754C40">
      <w:pPr>
        <w:ind w:firstLine="420" w:firstLineChars="200"/>
        <w:rPr>
          <w:rFonts w:hint="eastAsia"/>
        </w:rPr>
      </w:pPr>
      <w:r>
        <w:rPr>
          <w:rFonts w:hint="eastAsia"/>
        </w:rPr>
        <w:t xml:space="preserve">参加调研单位自行组织勘察现场，联系人：唐工 </w:t>
      </w:r>
      <w:r>
        <w:t>132 2277 7718</w:t>
      </w:r>
    </w:p>
    <w:p w14:paraId="7F0557DC">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322D0A"/>
    <w:multiLevelType w:val="multilevel"/>
    <w:tmpl w:val="1A322D0A"/>
    <w:lvl w:ilvl="0" w:tentative="0">
      <w:start w:val="1"/>
      <w:numFmt w:val="decimal"/>
      <w:lvlText w:val="%1"/>
      <w:lvlJc w:val="left"/>
      <w:pPr>
        <w:ind w:left="566" w:hanging="566"/>
      </w:pPr>
      <w:rPr>
        <w:rFonts w:hint="default"/>
      </w:rPr>
    </w:lvl>
    <w:lvl w:ilvl="1" w:tentative="0">
      <w:start w:val="1"/>
      <w:numFmt w:val="decimal"/>
      <w:lvlText w:val="%1.%2"/>
      <w:lvlJc w:val="left"/>
      <w:pPr>
        <w:ind w:left="566" w:hanging="566"/>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
    <w:nsid w:val="36050C98"/>
    <w:multiLevelType w:val="multilevel"/>
    <w:tmpl w:val="36050C98"/>
    <w:lvl w:ilvl="0" w:tentative="0">
      <w:start w:val="1"/>
      <w:numFmt w:val="bullet"/>
      <w:lvlText w:val=""/>
      <w:lvlJc w:val="left"/>
      <w:pPr>
        <w:ind w:left="440" w:hanging="440"/>
      </w:pPr>
      <w:rPr>
        <w:rFonts w:hint="default" w:ascii="Symbol" w:hAnsi="Symbol"/>
        <w:color w:val="auto"/>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4B2455E8"/>
    <w:multiLevelType w:val="multilevel"/>
    <w:tmpl w:val="4B2455E8"/>
    <w:lvl w:ilvl="0" w:tentative="0">
      <w:start w:val="1"/>
      <w:numFmt w:val="bullet"/>
      <w:lvlText w:val=""/>
      <w:lvlJc w:val="left"/>
      <w:pPr>
        <w:ind w:left="440" w:hanging="440"/>
      </w:pPr>
      <w:rPr>
        <w:rFonts w:hint="default" w:ascii="Symbol" w:hAnsi="Symbol"/>
        <w:color w:val="auto"/>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5FF90E9C"/>
    <w:multiLevelType w:val="multilevel"/>
    <w:tmpl w:val="5FF90E9C"/>
    <w:lvl w:ilvl="0" w:tentative="0">
      <w:start w:val="1"/>
      <w:numFmt w:val="japaneseCounting"/>
      <w:lvlText w:val="%1、"/>
      <w:lvlJc w:val="left"/>
      <w:pPr>
        <w:ind w:left="874" w:hanging="874"/>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7154E49"/>
    <w:multiLevelType w:val="multilevel"/>
    <w:tmpl w:val="67154E4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9A7589E"/>
    <w:multiLevelType w:val="multilevel"/>
    <w:tmpl w:val="79A7589E"/>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576"/>
    <w:rsid w:val="00034AC8"/>
    <w:rsid w:val="000B6292"/>
    <w:rsid w:val="00120F02"/>
    <w:rsid w:val="0013348B"/>
    <w:rsid w:val="00166947"/>
    <w:rsid w:val="001C6F7D"/>
    <w:rsid w:val="00284A03"/>
    <w:rsid w:val="002923CE"/>
    <w:rsid w:val="00293B81"/>
    <w:rsid w:val="002B0B01"/>
    <w:rsid w:val="002C0FE5"/>
    <w:rsid w:val="002E52C9"/>
    <w:rsid w:val="002F06BD"/>
    <w:rsid w:val="002F222C"/>
    <w:rsid w:val="00302B7C"/>
    <w:rsid w:val="00302EE7"/>
    <w:rsid w:val="00313359"/>
    <w:rsid w:val="003222B2"/>
    <w:rsid w:val="003311D3"/>
    <w:rsid w:val="00331361"/>
    <w:rsid w:val="00373D9B"/>
    <w:rsid w:val="00375456"/>
    <w:rsid w:val="003E48BC"/>
    <w:rsid w:val="00424C78"/>
    <w:rsid w:val="00491F3B"/>
    <w:rsid w:val="004A30A3"/>
    <w:rsid w:val="004A381E"/>
    <w:rsid w:val="004B2B02"/>
    <w:rsid w:val="004B59AB"/>
    <w:rsid w:val="004F4734"/>
    <w:rsid w:val="004F53C3"/>
    <w:rsid w:val="00514A13"/>
    <w:rsid w:val="00560475"/>
    <w:rsid w:val="00563735"/>
    <w:rsid w:val="005B6C9D"/>
    <w:rsid w:val="005C104C"/>
    <w:rsid w:val="0069149B"/>
    <w:rsid w:val="006C5895"/>
    <w:rsid w:val="006E19AF"/>
    <w:rsid w:val="006E3F60"/>
    <w:rsid w:val="007316C8"/>
    <w:rsid w:val="00795B70"/>
    <w:rsid w:val="007C6C4F"/>
    <w:rsid w:val="007C720E"/>
    <w:rsid w:val="0081019A"/>
    <w:rsid w:val="00842E76"/>
    <w:rsid w:val="00940D5D"/>
    <w:rsid w:val="00967B95"/>
    <w:rsid w:val="00977A1A"/>
    <w:rsid w:val="00981D3C"/>
    <w:rsid w:val="009D6A5A"/>
    <w:rsid w:val="009F41B3"/>
    <w:rsid w:val="00A33585"/>
    <w:rsid w:val="00A66116"/>
    <w:rsid w:val="00A74993"/>
    <w:rsid w:val="00A77075"/>
    <w:rsid w:val="00A916B4"/>
    <w:rsid w:val="00AD0693"/>
    <w:rsid w:val="00B02CFF"/>
    <w:rsid w:val="00B21957"/>
    <w:rsid w:val="00B26056"/>
    <w:rsid w:val="00B559A5"/>
    <w:rsid w:val="00B6125F"/>
    <w:rsid w:val="00B631FE"/>
    <w:rsid w:val="00BE3EB7"/>
    <w:rsid w:val="00BF12DA"/>
    <w:rsid w:val="00C81508"/>
    <w:rsid w:val="00C9081C"/>
    <w:rsid w:val="00C93277"/>
    <w:rsid w:val="00D05587"/>
    <w:rsid w:val="00D05A4C"/>
    <w:rsid w:val="00D46281"/>
    <w:rsid w:val="00D64111"/>
    <w:rsid w:val="00D65013"/>
    <w:rsid w:val="00D722BC"/>
    <w:rsid w:val="00D8506A"/>
    <w:rsid w:val="00D8526C"/>
    <w:rsid w:val="00DA78C7"/>
    <w:rsid w:val="00DC7CE6"/>
    <w:rsid w:val="00DD521D"/>
    <w:rsid w:val="00E42584"/>
    <w:rsid w:val="00EB28CD"/>
    <w:rsid w:val="00EC0744"/>
    <w:rsid w:val="00F11F6C"/>
    <w:rsid w:val="00F21FEE"/>
    <w:rsid w:val="00F54DE6"/>
    <w:rsid w:val="00FD0576"/>
    <w:rsid w:val="29952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9"/>
    <w:rPr>
      <w:b/>
      <w:bCs/>
      <w:kern w:val="44"/>
      <w:sz w:val="44"/>
      <w:szCs w:val="44"/>
    </w:rPr>
  </w:style>
  <w:style w:type="character" w:customStyle="1" w:styleId="12">
    <w:name w:val="标题 2 字符"/>
    <w:basedOn w:val="8"/>
    <w:link w:val="3"/>
    <w:qFormat/>
    <w:uiPriority w:val="9"/>
    <w:rPr>
      <w:rFonts w:asciiTheme="majorHAnsi" w:hAnsiTheme="majorHAnsi" w:eastAsiaTheme="majorEastAsia" w:cstheme="majorBidi"/>
      <w:b/>
      <w:bCs/>
      <w:sz w:val="32"/>
      <w:szCs w:val="32"/>
    </w:rPr>
  </w:style>
  <w:style w:type="paragraph" w:styleId="13">
    <w:name w:val="List Paragraph"/>
    <w:basedOn w:val="1"/>
    <w:qFormat/>
    <w:uiPriority w:val="0"/>
    <w:pPr>
      <w:ind w:firstLine="420" w:firstLineChars="200"/>
    </w:pPr>
  </w:style>
  <w:style w:type="table" w:customStyle="1" w:styleId="14">
    <w:name w:val="Grid Table Light"/>
    <w:basedOn w:val="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2410</Words>
  <Characters>2473</Characters>
  <Lines>30</Lines>
  <Paragraphs>8</Paragraphs>
  <TotalTime>61</TotalTime>
  <ScaleCrop>false</ScaleCrop>
  <LinksUpToDate>false</LinksUpToDate>
  <CharactersWithSpaces>2485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2025-09-15T11:24:00Z</dcterms:created>
  <dc:creator>Paras.Lee</dc:creator>
  <cp:lastModifiedBy>唐老鸭</cp:lastModifiedBy>
  <dcterms:modified xsi:type="dcterms:W3CDTF">2025-09-17T00:05:57Z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eyJoZGlkIjoiZjM3MWFmM2NkNGVmMjIxOGIzMDAxNzI2NjcxYmQ5OWMiLCJ1c2VySWQiOiIzOTM2OTYwMTgifQ==</vt:lpwstr>
  </property>
  <property fmtid="{D5CDD505-2E9C-101B-9397-08002B2CF9AE}" pid="3" name="KSOProductBuildVer">
    <vt:lpwstr>2052-12.1.0.22529</vt:lpwstr>
  </property>
  <property fmtid="{D5CDD505-2E9C-101B-9397-08002B2CF9AE}" pid="4" name="ICV">
    <vt:lpwstr>3818C31709C745F78A27094F93160E62_13</vt:lpwstr>
  </property>
</Properties>
</file>