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4DB39">
      <w:pPr>
        <w:jc w:val="center"/>
        <w:rPr>
          <w:rFonts w:ascii="宋体" w:hAnsi="宋体"/>
          <w:b/>
          <w:sz w:val="44"/>
          <w:szCs w:val="44"/>
          <w:lang w:val="zh-CN"/>
        </w:rPr>
      </w:pPr>
      <w:r>
        <w:rPr>
          <w:rFonts w:hint="eastAsia" w:ascii="宋体" w:hAnsi="宋体"/>
          <w:b/>
          <w:sz w:val="44"/>
          <w:szCs w:val="44"/>
          <w:lang w:val="zh-CN"/>
        </w:rPr>
        <w:t>江苏省第二中医院</w:t>
      </w:r>
      <w:r>
        <w:rPr>
          <w:rFonts w:hint="eastAsia" w:ascii="宋体" w:hAnsi="宋体"/>
          <w:b/>
          <w:sz w:val="44"/>
          <w:szCs w:val="44"/>
          <w:lang w:val="en-US" w:eastAsia="zh-CN"/>
        </w:rPr>
        <w:t>影像</w:t>
      </w:r>
      <w:r>
        <w:rPr>
          <w:rFonts w:hint="eastAsia" w:ascii="宋体" w:hAnsi="宋体"/>
          <w:b/>
          <w:sz w:val="44"/>
          <w:szCs w:val="44"/>
          <w:lang w:val="zh-CN"/>
        </w:rPr>
        <w:t>超融合扩容项目</w:t>
      </w:r>
    </w:p>
    <w:p w14:paraId="4433DA9F">
      <w:pPr>
        <w:jc w:val="center"/>
        <w:rPr>
          <w:rFonts w:ascii="宋体" w:hAnsi="宋体"/>
          <w:color w:val="000000"/>
          <w:sz w:val="44"/>
          <w:szCs w:val="44"/>
          <w:lang w:val="zh-CN"/>
        </w:rPr>
      </w:pPr>
      <w:r>
        <w:rPr>
          <w:rFonts w:hint="eastAsia" w:ascii="宋体" w:hAnsi="宋体"/>
          <w:b/>
          <w:sz w:val="44"/>
          <w:szCs w:val="44"/>
          <w:lang w:val="zh-CN"/>
        </w:rPr>
        <w:t>调研内容</w:t>
      </w:r>
    </w:p>
    <w:p w14:paraId="35CDD6D5">
      <w:pPr>
        <w:autoSpaceDE w:val="0"/>
        <w:autoSpaceDN w:val="0"/>
        <w:adjustRightInd w:val="0"/>
        <w:jc w:val="left"/>
        <w:rPr>
          <w:rFonts w:ascii="宋体" w:hAnsi="宋体"/>
          <w:color w:val="000000"/>
          <w:sz w:val="32"/>
          <w:szCs w:val="32"/>
          <w:lang w:val="zh-CN"/>
        </w:rPr>
      </w:pPr>
    </w:p>
    <w:p w14:paraId="1BE67A8F">
      <w:pPr>
        <w:autoSpaceDE w:val="0"/>
        <w:autoSpaceDN w:val="0"/>
        <w:adjustRightInd w:val="0"/>
        <w:jc w:val="left"/>
        <w:rPr>
          <w:rFonts w:ascii="宋体" w:hAnsi="宋体"/>
          <w:color w:val="000000"/>
          <w:sz w:val="32"/>
          <w:szCs w:val="32"/>
          <w:lang w:val="zh-CN"/>
        </w:rPr>
      </w:pPr>
    </w:p>
    <w:p w14:paraId="22AE1E0B">
      <w:pPr>
        <w:spacing w:line="480" w:lineRule="auto"/>
        <w:rPr>
          <w:rFonts w:ascii="宋体" w:hAnsi="宋体"/>
          <w:sz w:val="32"/>
          <w:szCs w:val="32"/>
        </w:rPr>
      </w:pPr>
    </w:p>
    <w:p w14:paraId="651AF6FF">
      <w:pPr>
        <w:tabs>
          <w:tab w:val="left" w:pos="4500"/>
        </w:tabs>
        <w:autoSpaceDE w:val="0"/>
        <w:autoSpaceDN w:val="0"/>
        <w:adjustRightInd w:val="0"/>
        <w:jc w:val="center"/>
        <w:rPr>
          <w:rFonts w:ascii="宋体" w:hAnsi="宋体"/>
          <w:color w:val="000000"/>
          <w:sz w:val="44"/>
          <w:szCs w:val="44"/>
          <w:lang w:val="zh-CN"/>
        </w:rPr>
      </w:pPr>
      <w:bookmarkStart w:id="1" w:name="_GoBack"/>
      <w:bookmarkEnd w:id="1"/>
    </w:p>
    <w:p w14:paraId="50C29995">
      <w:pPr>
        <w:tabs>
          <w:tab w:val="left" w:pos="4500"/>
        </w:tabs>
        <w:autoSpaceDE w:val="0"/>
        <w:autoSpaceDN w:val="0"/>
        <w:adjustRightInd w:val="0"/>
        <w:jc w:val="center"/>
        <w:rPr>
          <w:rFonts w:ascii="宋体" w:hAnsi="宋体"/>
          <w:color w:val="000000"/>
          <w:sz w:val="44"/>
          <w:szCs w:val="44"/>
          <w:lang w:val="zh-CN"/>
        </w:rPr>
      </w:pPr>
    </w:p>
    <w:p w14:paraId="3400B337">
      <w:pPr>
        <w:tabs>
          <w:tab w:val="left" w:pos="4500"/>
        </w:tabs>
        <w:autoSpaceDE w:val="0"/>
        <w:autoSpaceDN w:val="0"/>
        <w:adjustRightInd w:val="0"/>
        <w:jc w:val="center"/>
        <w:rPr>
          <w:rFonts w:ascii="宋体" w:hAnsi="宋体"/>
          <w:color w:val="000000"/>
          <w:sz w:val="44"/>
          <w:szCs w:val="44"/>
          <w:lang w:val="zh-CN"/>
        </w:rPr>
      </w:pPr>
    </w:p>
    <w:p w14:paraId="7049A9C1">
      <w:pPr>
        <w:tabs>
          <w:tab w:val="left" w:pos="4500"/>
        </w:tabs>
        <w:autoSpaceDE w:val="0"/>
        <w:autoSpaceDN w:val="0"/>
        <w:adjustRightInd w:val="0"/>
        <w:spacing w:line="480" w:lineRule="auto"/>
        <w:rPr>
          <w:rFonts w:ascii="宋体" w:hAnsi="宋体"/>
          <w:color w:val="000000"/>
          <w:sz w:val="36"/>
          <w:szCs w:val="36"/>
          <w:lang w:val="zh-CN"/>
        </w:rPr>
      </w:pPr>
    </w:p>
    <w:p w14:paraId="79B80F6C">
      <w:pPr>
        <w:tabs>
          <w:tab w:val="left" w:pos="4500"/>
        </w:tabs>
        <w:autoSpaceDE w:val="0"/>
        <w:autoSpaceDN w:val="0"/>
        <w:adjustRightInd w:val="0"/>
        <w:spacing w:line="480" w:lineRule="auto"/>
        <w:rPr>
          <w:rFonts w:ascii="宋体" w:hAnsi="宋体"/>
          <w:color w:val="000000"/>
          <w:sz w:val="36"/>
          <w:szCs w:val="36"/>
          <w:lang w:val="zh-CN"/>
        </w:rPr>
      </w:pPr>
    </w:p>
    <w:p w14:paraId="60E2A982">
      <w:pPr>
        <w:tabs>
          <w:tab w:val="left" w:pos="4500"/>
        </w:tabs>
        <w:autoSpaceDE w:val="0"/>
        <w:autoSpaceDN w:val="0"/>
        <w:adjustRightInd w:val="0"/>
        <w:spacing w:line="480" w:lineRule="auto"/>
        <w:rPr>
          <w:rFonts w:ascii="宋体" w:hAnsi="宋体"/>
          <w:color w:val="000000"/>
          <w:sz w:val="36"/>
          <w:szCs w:val="36"/>
          <w:lang w:val="zh-CN"/>
        </w:rPr>
      </w:pPr>
    </w:p>
    <w:p w14:paraId="7F3D9093">
      <w:pPr>
        <w:tabs>
          <w:tab w:val="left" w:pos="4500"/>
        </w:tabs>
        <w:autoSpaceDE w:val="0"/>
        <w:autoSpaceDN w:val="0"/>
        <w:adjustRightInd w:val="0"/>
        <w:spacing w:line="480" w:lineRule="auto"/>
        <w:rPr>
          <w:rFonts w:ascii="宋体" w:hAnsi="宋体"/>
          <w:color w:val="000000"/>
          <w:sz w:val="36"/>
          <w:szCs w:val="36"/>
          <w:lang w:val="zh-CN"/>
        </w:rPr>
      </w:pPr>
    </w:p>
    <w:p w14:paraId="158A0E37">
      <w:pPr>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2025年0</w:t>
      </w:r>
      <w:r>
        <w:rPr>
          <w:rFonts w:hint="eastAsia" w:asciiTheme="minorEastAsia" w:hAnsiTheme="minorEastAsia" w:eastAsiaTheme="minorEastAsia"/>
          <w:sz w:val="44"/>
          <w:szCs w:val="44"/>
          <w:lang w:val="en-US" w:eastAsia="zh-CN"/>
        </w:rPr>
        <w:t>9</w:t>
      </w:r>
      <w:r>
        <w:rPr>
          <w:rFonts w:hint="eastAsia" w:asciiTheme="minorEastAsia" w:hAnsiTheme="minorEastAsia" w:eastAsiaTheme="minorEastAsia"/>
          <w:sz w:val="44"/>
          <w:szCs w:val="44"/>
        </w:rPr>
        <w:t>月</w:t>
      </w:r>
    </w:p>
    <w:p w14:paraId="0BA094B3">
      <w:pPr>
        <w:rPr>
          <w:rFonts w:ascii="宋体" w:hAnsi="宋体" w:cs="仿宋_GB2312"/>
          <w:b/>
          <w:bCs/>
          <w:color w:val="000000"/>
          <w:sz w:val="28"/>
          <w:szCs w:val="28"/>
        </w:rPr>
      </w:pPr>
      <w:bookmarkStart w:id="0" w:name="_Toc465785687"/>
      <w:r>
        <w:rPr>
          <w:rFonts w:hint="eastAsia" w:ascii="宋体" w:hAnsi="宋体" w:cs="仿宋_GB2312"/>
          <w:b/>
          <w:bCs/>
          <w:color w:val="000000"/>
          <w:sz w:val="28"/>
          <w:szCs w:val="28"/>
        </w:rPr>
        <w:br w:type="page"/>
      </w:r>
    </w:p>
    <w:p w14:paraId="42D53180">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一、产品清单</w:t>
      </w:r>
    </w:p>
    <w:p w14:paraId="62B3A6B8">
      <w:pPr>
        <w:spacing w:line="560" w:lineRule="exact"/>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软件配置不低于以下要求：</w:t>
      </w:r>
    </w:p>
    <w:p w14:paraId="18CDD178">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ascii="宋体" w:hAnsi="宋体" w:cs="宋体"/>
          <w:color w:val="000000" w:themeColor="text1"/>
          <w:szCs w:val="21"/>
          <w14:textFill>
            <w14:solidFill>
              <w14:schemeClr w14:val="tx1"/>
            </w14:solidFill>
          </w14:textFill>
        </w:rPr>
        <w:t>本次</w:t>
      </w:r>
      <w:r>
        <w:rPr>
          <w:rFonts w:hint="eastAsia" w:ascii="宋体" w:hAnsi="宋体" w:cs="宋体"/>
          <w:color w:val="000000" w:themeColor="text1"/>
          <w:szCs w:val="21"/>
          <w14:textFill>
            <w14:solidFill>
              <w14:schemeClr w14:val="tx1"/>
            </w14:solidFill>
          </w14:textFill>
        </w:rPr>
        <w:t>需配3节点或6 CPU的计算虚拟化、网络虚拟化、存储虚拟化、网络流量可视化配置，并配置云管理平台1套，可以对本次所投产品进行统一管理，所有授权均为永久授权非订阅授权，满足国产化信创要求。</w:t>
      </w:r>
    </w:p>
    <w:p w14:paraId="2AE9A67C">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★2、为满足兼容性要求，云平台须为最新版本。支持从原有云平台中批量迁移至新购平台中，支持全量增量传输，提供原厂迁移工具，并提供原厂迁移服务。</w:t>
      </w:r>
    </w:p>
    <w:p w14:paraId="60A4BE3C">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★3、必须为国产非OEM产品，要求最终用户为“江苏省第二中医院”</w:t>
      </w:r>
    </w:p>
    <w:p w14:paraId="318BB9DD">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★4.本次云平台交付后与现有云平台计算、存储、网络、安全、容灾、备份完全融合，通过统一方式管理。现有云平台品牌技术型号为KVM规格，管理方式需要rest api方式融入现有核心云平台，支持云主机在线、分段、克隆迁移，不变更硬件ID。平台交付后可以调用现有云平台API，虚拟机可进行无代理复制，支持平台之间的双向无代理复制容灾。（提供服务承诺函并加盖公章，承诺函格式自拟）</w:t>
      </w:r>
    </w:p>
    <w:p w14:paraId="2B22DFCF">
      <w:pPr>
        <w:spacing w:line="560" w:lineRule="exact"/>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服务器配置不低于以下要求：</w:t>
      </w:r>
    </w:p>
    <w:p w14:paraId="73F0E422">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★1、数量：3台；2U标准机架式服务器；</w:t>
      </w:r>
    </w:p>
    <w:p w14:paraId="7B6CE7AE">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★2、处理器:配置≥2颗国产C86处理器，单颗处理器主频≥2.5GHz，单颗处理器≥16核心，线程数≥32线程，并符合通过安全可靠测评的国产处理器要求；</w:t>
      </w:r>
    </w:p>
    <w:p w14:paraId="1C00FDAB">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★3、内存：单节点配置≥512GB DDR4 3200 ECC内存；</w:t>
      </w:r>
    </w:p>
    <w:p w14:paraId="6D103B8C">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★4、系统磁盘：单节点配置≥2块 480G SATA SSD企业级磁盘；</w:t>
      </w:r>
    </w:p>
    <w:p w14:paraId="22C94D11">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★5、缓存磁盘：单节点配置≥2块1.6TB PCIE4.0 NVMe混合型SSD磁盘；</w:t>
      </w:r>
    </w:p>
    <w:p w14:paraId="3C10032A">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★6、容量磁盘：单节点配置≥4块8TB SATA HDD磁盘；</w:t>
      </w:r>
    </w:p>
    <w:p w14:paraId="12B4500A">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★7、管理网络：单节点配置≥1块双口10Gb光口（含10G多模光模块）；</w:t>
      </w:r>
    </w:p>
    <w:p w14:paraId="16C48FC1">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★8、业务网络：单节点配置≥1块双口10Gb光口（含10G多模光模块）；</w:t>
      </w:r>
    </w:p>
    <w:p w14:paraId="0DCB8F72">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★9、存储网络：单节点配置≥1块双口10Gb光口（含10G多模光模块）；</w:t>
      </w:r>
    </w:p>
    <w:p w14:paraId="554AC1F5">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★10、电源：单节点配置冗余电源；</w:t>
      </w:r>
    </w:p>
    <w:p w14:paraId="2FFFC107">
      <w:pPr>
        <w:spacing w:line="56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★11、带外管理：单节点配置企业版（高级版）带外管理接口。</w:t>
      </w:r>
    </w:p>
    <w:p w14:paraId="2CA34AB8">
      <w:pPr>
        <w:spacing w:line="560" w:lineRule="exact"/>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质保不低于以下要求：</w:t>
      </w:r>
    </w:p>
    <w:p w14:paraId="2093D7A5">
      <w:pPr>
        <w:spacing w:line="560" w:lineRule="exact"/>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供应商承诺成交后提供整体三年原厂质保服务（包含设备硬件质保、软件升级、软件维护、应急保障服务，服务形式包括且不限于电话咨询、企业微信群支持、邮件互动、上门技术支持、远程支持等）。（提供承诺函并加盖公章，格式自拟）</w:t>
      </w:r>
    </w:p>
    <w:p w14:paraId="2A43B913">
      <w:pPr>
        <w:widowControl/>
        <w:jc w:val="left"/>
        <w:rPr>
          <w:rFonts w:ascii="宋体" w:hAnsi="宋体"/>
          <w:b/>
          <w:bCs/>
          <w:color w:val="000000"/>
          <w:sz w:val="28"/>
          <w:szCs w:val="28"/>
        </w:rPr>
      </w:pPr>
      <w:r>
        <w:rPr>
          <w:rFonts w:ascii="宋体" w:hAnsi="宋体"/>
          <w:b/>
          <w:bCs/>
          <w:color w:val="000000"/>
          <w:sz w:val="28"/>
          <w:szCs w:val="28"/>
        </w:rPr>
        <w:br w:type="page"/>
      </w:r>
    </w:p>
    <w:p w14:paraId="746B3E5B">
      <w:pPr>
        <w:spacing w:line="360" w:lineRule="auto"/>
        <w:rPr>
          <w:rFonts w:ascii="宋体" w:hAnsi="宋体"/>
          <w:b/>
          <w:bCs/>
          <w:color w:val="000000"/>
          <w:sz w:val="28"/>
          <w:szCs w:val="28"/>
        </w:rPr>
      </w:pPr>
      <w:r>
        <w:rPr>
          <w:rFonts w:hint="eastAsia" w:ascii="宋体" w:hAnsi="宋体"/>
          <w:b/>
          <w:bCs/>
          <w:color w:val="000000"/>
          <w:sz w:val="28"/>
          <w:szCs w:val="28"/>
        </w:rPr>
        <w:t>二、商务要求：</w:t>
      </w:r>
    </w:p>
    <w:p w14:paraId="74560F08">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系统中软硬件技术支持需要投标人在项目验收合格后免费技术支持3年，调研方应在供应实施当地（市级）设立技术支持和售后服务机构，并有足够的人员来保证技术支持和售后服务。调研方须提供7*24小时的技术支持和免费的上门维护升级服务。</w:t>
      </w:r>
    </w:p>
    <w:p w14:paraId="301F21BF">
      <w:pPr>
        <w:spacing w:line="360" w:lineRule="auto"/>
        <w:ind w:firstLine="48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故障级别定义及解决时间要求如下：</w:t>
      </w:r>
    </w:p>
    <w:tbl>
      <w:tblPr>
        <w:tblStyle w:val="5"/>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02"/>
        <w:gridCol w:w="1418"/>
        <w:gridCol w:w="1234"/>
        <w:gridCol w:w="1418"/>
        <w:gridCol w:w="1294"/>
        <w:gridCol w:w="1257"/>
      </w:tblGrid>
      <w:tr w14:paraId="7744D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02" w:type="dxa"/>
          </w:tcPr>
          <w:p w14:paraId="506BE98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故障级别</w:t>
            </w:r>
          </w:p>
        </w:tc>
        <w:tc>
          <w:tcPr>
            <w:tcW w:w="1418" w:type="dxa"/>
          </w:tcPr>
          <w:p w14:paraId="74A273F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技术人员到场时间</w:t>
            </w:r>
          </w:p>
        </w:tc>
        <w:tc>
          <w:tcPr>
            <w:tcW w:w="1234" w:type="dxa"/>
          </w:tcPr>
          <w:p w14:paraId="4D46270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提出解决方案</w:t>
            </w:r>
          </w:p>
        </w:tc>
        <w:tc>
          <w:tcPr>
            <w:tcW w:w="1418" w:type="dxa"/>
          </w:tcPr>
          <w:p w14:paraId="623D925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备件到场时间</w:t>
            </w:r>
          </w:p>
        </w:tc>
        <w:tc>
          <w:tcPr>
            <w:tcW w:w="1294" w:type="dxa"/>
          </w:tcPr>
          <w:p w14:paraId="48F706A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解决时间</w:t>
            </w:r>
          </w:p>
        </w:tc>
        <w:tc>
          <w:tcPr>
            <w:tcW w:w="1257" w:type="dxa"/>
          </w:tcPr>
          <w:p w14:paraId="1EAD6B1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其他</w:t>
            </w:r>
          </w:p>
        </w:tc>
      </w:tr>
      <w:tr w14:paraId="594A7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2002" w:type="dxa"/>
          </w:tcPr>
          <w:p w14:paraId="7C281F4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Ⅰ级：属于重特大故障</w:t>
            </w:r>
            <w:r>
              <w:rPr>
                <w:rFonts w:hint="eastAsia" w:ascii="宋体" w:hAnsi="宋体" w:cs="宋体"/>
                <w:bCs/>
                <w:color w:val="000000" w:themeColor="text1"/>
                <w:szCs w:val="21"/>
                <w14:textFill>
                  <w14:solidFill>
                    <w14:schemeClr w14:val="tx1"/>
                  </w14:solidFill>
                </w14:textFill>
              </w:rPr>
              <w:t>或系统存在重大安全隐患的情况下</w:t>
            </w:r>
            <w:r>
              <w:rPr>
                <w:rFonts w:hint="eastAsia" w:ascii="宋体" w:hAnsi="宋体" w:cs="宋体"/>
                <w:color w:val="000000" w:themeColor="text1"/>
                <w:szCs w:val="21"/>
                <w14:textFill>
                  <w14:solidFill>
                    <w14:schemeClr w14:val="tx1"/>
                  </w14:solidFill>
                </w14:textFill>
              </w:rPr>
              <w:t>。</w:t>
            </w:r>
          </w:p>
        </w:tc>
        <w:tc>
          <w:tcPr>
            <w:tcW w:w="1418" w:type="dxa"/>
          </w:tcPr>
          <w:p w14:paraId="4321548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接报30分钟以内到现场</w:t>
            </w:r>
          </w:p>
        </w:tc>
        <w:tc>
          <w:tcPr>
            <w:tcW w:w="1234" w:type="dxa"/>
          </w:tcPr>
          <w:p w14:paraId="61E4F58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到现场后1小时内提交故障解决方案</w:t>
            </w:r>
          </w:p>
        </w:tc>
        <w:tc>
          <w:tcPr>
            <w:tcW w:w="1418" w:type="dxa"/>
          </w:tcPr>
          <w:p w14:paraId="09CC3A5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提出解决方案后1小时到现场</w:t>
            </w:r>
          </w:p>
        </w:tc>
        <w:tc>
          <w:tcPr>
            <w:tcW w:w="1294" w:type="dxa"/>
          </w:tcPr>
          <w:p w14:paraId="0393EB1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接报3小时以内</w:t>
            </w:r>
          </w:p>
        </w:tc>
        <w:tc>
          <w:tcPr>
            <w:tcW w:w="1257" w:type="dxa"/>
            <w:vMerge w:val="restart"/>
          </w:tcPr>
          <w:p w14:paraId="3CCAFD9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特殊情况，电话通知或下发《紧急维修通知单》，3小时内必须修复。</w:t>
            </w:r>
          </w:p>
        </w:tc>
      </w:tr>
      <w:tr w14:paraId="1A5DD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02" w:type="dxa"/>
          </w:tcPr>
          <w:p w14:paraId="737B4BC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Ⅱ级：属于严重问题：其具体现象为：部分服务器系统发生故障、或小面积瘫痪但不影响系统整体运行。</w:t>
            </w:r>
          </w:p>
        </w:tc>
        <w:tc>
          <w:tcPr>
            <w:tcW w:w="1418" w:type="dxa"/>
          </w:tcPr>
          <w:p w14:paraId="7CCFAB8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接报30分钟以内到现场</w:t>
            </w:r>
          </w:p>
        </w:tc>
        <w:tc>
          <w:tcPr>
            <w:tcW w:w="1234" w:type="dxa"/>
          </w:tcPr>
          <w:p w14:paraId="4DE64A2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到现场后1小时内提交故障解决方案</w:t>
            </w:r>
          </w:p>
        </w:tc>
        <w:tc>
          <w:tcPr>
            <w:tcW w:w="1418" w:type="dxa"/>
          </w:tcPr>
          <w:p w14:paraId="10AA7E5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提出解决方案后1小时到现场</w:t>
            </w:r>
          </w:p>
        </w:tc>
        <w:tc>
          <w:tcPr>
            <w:tcW w:w="1294" w:type="dxa"/>
          </w:tcPr>
          <w:p w14:paraId="33E6387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接报6小时以内</w:t>
            </w:r>
          </w:p>
        </w:tc>
        <w:tc>
          <w:tcPr>
            <w:tcW w:w="1257" w:type="dxa"/>
            <w:vMerge w:val="continue"/>
          </w:tcPr>
          <w:p w14:paraId="53DE0AD5">
            <w:pPr>
              <w:rPr>
                <w:rFonts w:ascii="宋体" w:hAnsi="宋体" w:cs="宋体"/>
                <w:color w:val="000000"/>
                <w:szCs w:val="21"/>
              </w:rPr>
            </w:pPr>
          </w:p>
        </w:tc>
      </w:tr>
      <w:tr w14:paraId="0161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02" w:type="dxa"/>
          </w:tcPr>
          <w:p w14:paraId="4D6F141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Ⅲ级：属于普通问题：其具体现象为：服务器、存储硬盘故障，交换机单点故障，服务故障。</w:t>
            </w:r>
          </w:p>
        </w:tc>
        <w:tc>
          <w:tcPr>
            <w:tcW w:w="1418" w:type="dxa"/>
          </w:tcPr>
          <w:p w14:paraId="2B1173F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接报2小时内到现场</w:t>
            </w:r>
          </w:p>
        </w:tc>
        <w:tc>
          <w:tcPr>
            <w:tcW w:w="1234" w:type="dxa"/>
          </w:tcPr>
          <w:p w14:paraId="03660A4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即时提交或到现场后1小时内提交解决方案</w:t>
            </w:r>
          </w:p>
        </w:tc>
        <w:tc>
          <w:tcPr>
            <w:tcW w:w="1418" w:type="dxa"/>
          </w:tcPr>
          <w:p w14:paraId="61D68FB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视情况而定</w:t>
            </w:r>
          </w:p>
        </w:tc>
        <w:tc>
          <w:tcPr>
            <w:tcW w:w="1294" w:type="dxa"/>
          </w:tcPr>
          <w:p w14:paraId="2F18D92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接报12小时以内</w:t>
            </w:r>
          </w:p>
        </w:tc>
        <w:tc>
          <w:tcPr>
            <w:tcW w:w="1257" w:type="dxa"/>
            <w:vMerge w:val="continue"/>
          </w:tcPr>
          <w:p w14:paraId="23A3D0A9">
            <w:pPr>
              <w:rPr>
                <w:rFonts w:ascii="宋体" w:hAnsi="宋体" w:cs="宋体"/>
                <w:color w:val="000000"/>
                <w:szCs w:val="21"/>
              </w:rPr>
            </w:pPr>
          </w:p>
        </w:tc>
      </w:tr>
    </w:tbl>
    <w:p w14:paraId="661D0D27">
      <w:pPr>
        <w:spacing w:line="560" w:lineRule="exact"/>
        <w:ind w:firstLine="420" w:firstLineChars="200"/>
        <w:rPr>
          <w:rFonts w:ascii="宋体" w:hAnsi="宋体"/>
          <w:color w:val="000000"/>
          <w:szCs w:val="21"/>
        </w:rPr>
      </w:pPr>
      <w:r>
        <w:rPr>
          <w:rFonts w:hint="eastAsia" w:ascii="宋体" w:hAnsi="宋体" w:cs="宋体"/>
          <w:color w:val="000000" w:themeColor="text1"/>
          <w:szCs w:val="21"/>
          <w14:textFill>
            <w14:solidFill>
              <w14:schemeClr w14:val="tx1"/>
            </w14:solidFill>
          </w14:textFill>
        </w:rPr>
        <w:t>2、培训要求：项目实施结束后，在接到采购人培训指令时，应在采购人规定的时间到达培训地点，对采购人相关管理人员进行免费现场培训</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提供不少于3人/天的培训，采购人经过培训后，应能熟练掌握使用方法，独立完成日常的维护工作，掌握日常运行情况并能及时了解并排除大部分的日常故障。</w:t>
      </w:r>
    </w:p>
    <w:p w14:paraId="4013F0CB">
      <w:pPr>
        <w:spacing w:line="560" w:lineRule="exact"/>
        <w:ind w:firstLine="420" w:firstLineChars="200"/>
        <w:rPr>
          <w:rFonts w:ascii="宋体" w:hAnsi="宋体"/>
          <w:color w:val="000000"/>
          <w:szCs w:val="21"/>
        </w:rPr>
      </w:pPr>
      <w:r>
        <w:rPr>
          <w:rFonts w:hint="eastAsia" w:ascii="宋体" w:hAnsi="宋体"/>
          <w:color w:val="000000"/>
          <w:szCs w:val="21"/>
        </w:rPr>
        <w:t>3、</w:t>
      </w:r>
      <w:r>
        <w:rPr>
          <w:rFonts w:hint="eastAsia" w:ascii="宋体" w:hAnsi="宋体" w:cs="宋体"/>
          <w:color w:val="000000" w:themeColor="text1"/>
          <w:szCs w:val="21"/>
          <w14:textFill>
            <w14:solidFill>
              <w14:schemeClr w14:val="tx1"/>
            </w14:solidFill>
          </w14:textFill>
        </w:rPr>
        <w:t>调研方</w:t>
      </w:r>
      <w:r>
        <w:rPr>
          <w:rFonts w:hint="eastAsia" w:ascii="宋体" w:hAnsi="宋体"/>
          <w:color w:val="000000"/>
          <w:szCs w:val="21"/>
        </w:rPr>
        <w:t>必须是生产厂家或取得厂家授权的代理商，调研时代理商需提供原厂针对此项目的授权函；</w:t>
      </w:r>
    </w:p>
    <w:p w14:paraId="12C05630">
      <w:pPr>
        <w:spacing w:line="360" w:lineRule="auto"/>
        <w:rPr>
          <w:rFonts w:ascii="宋体" w:hAnsi="宋体"/>
          <w:b/>
          <w:bCs/>
          <w:color w:val="000000"/>
          <w:sz w:val="28"/>
          <w:szCs w:val="28"/>
        </w:rPr>
      </w:pPr>
      <w:r>
        <w:rPr>
          <w:rFonts w:hint="eastAsia" w:ascii="宋体" w:hAnsi="宋体"/>
          <w:b/>
          <w:bCs/>
          <w:color w:val="000000"/>
          <w:sz w:val="28"/>
          <w:szCs w:val="28"/>
        </w:rPr>
        <w:t>三、服务要求</w:t>
      </w:r>
    </w:p>
    <w:p w14:paraId="6D5F9959">
      <w:pPr>
        <w:spacing w:line="560" w:lineRule="exact"/>
        <w:ind w:firstLine="420" w:firstLineChars="200"/>
        <w:rPr>
          <w:rFonts w:ascii="宋体" w:hAnsi="宋体"/>
          <w:color w:val="000000"/>
          <w:szCs w:val="21"/>
        </w:rPr>
      </w:pPr>
      <w:r>
        <w:rPr>
          <w:rFonts w:hint="eastAsia" w:ascii="宋体" w:hAnsi="宋体"/>
          <w:color w:val="000000"/>
          <w:szCs w:val="21"/>
        </w:rPr>
        <w:t>1、质保期：供应商报价时须承诺所供货物的免费质保期为三年（自验收报告签字确认日起，开始进入质保期）。</w:t>
      </w:r>
    </w:p>
    <w:p w14:paraId="2C61EFD8">
      <w:pPr>
        <w:spacing w:line="560" w:lineRule="exact"/>
        <w:ind w:firstLine="420" w:firstLineChars="200"/>
        <w:rPr>
          <w:rFonts w:ascii="宋体" w:hAnsi="宋体"/>
          <w:color w:val="000000"/>
          <w:szCs w:val="21"/>
        </w:rPr>
      </w:pPr>
      <w:r>
        <w:rPr>
          <w:rFonts w:hint="eastAsia" w:ascii="宋体" w:hAnsi="宋体"/>
          <w:color w:val="000000"/>
          <w:szCs w:val="21"/>
        </w:rPr>
        <w:t>2、服务响应时间：在接到服务请求1个小时内到达现场进行服务及保障。</w:t>
      </w:r>
    </w:p>
    <w:p w14:paraId="27B9E45A">
      <w:pPr>
        <w:spacing w:line="360" w:lineRule="auto"/>
        <w:rPr>
          <w:rFonts w:ascii="宋体" w:hAnsi="宋体"/>
          <w:b/>
          <w:bCs/>
          <w:color w:val="000000"/>
          <w:sz w:val="28"/>
          <w:szCs w:val="28"/>
        </w:rPr>
      </w:pPr>
      <w:r>
        <w:rPr>
          <w:rFonts w:hint="eastAsia" w:ascii="宋体" w:hAnsi="宋体"/>
          <w:b/>
          <w:bCs/>
          <w:color w:val="000000"/>
          <w:sz w:val="28"/>
          <w:szCs w:val="28"/>
        </w:rPr>
        <w:t>四、项目实施要求</w:t>
      </w:r>
    </w:p>
    <w:p w14:paraId="0C6CFDA1">
      <w:pPr>
        <w:spacing w:line="560" w:lineRule="exact"/>
        <w:ind w:firstLine="420" w:firstLineChars="200"/>
        <w:rPr>
          <w:rFonts w:ascii="宋体" w:hAnsi="宋体" w:cs="仿宋_GB2312"/>
          <w:color w:val="000000"/>
          <w:szCs w:val="21"/>
        </w:rPr>
      </w:pPr>
      <w:r>
        <w:rPr>
          <w:rFonts w:hint="eastAsia" w:ascii="宋体" w:hAnsi="宋体" w:cs="仿宋_GB2312"/>
          <w:color w:val="000000"/>
          <w:szCs w:val="21"/>
        </w:rPr>
        <w:t>项目实施时间：签订合同之日起1个月内。</w:t>
      </w:r>
    </w:p>
    <w:bookmarkEnd w:id="0"/>
    <w:p w14:paraId="006FDD93">
      <w:pPr>
        <w:spacing w:line="360" w:lineRule="auto"/>
        <w:rPr>
          <w:rFonts w:ascii="宋体" w:hAnsi="宋体"/>
          <w:b/>
          <w:bCs/>
          <w:color w:val="000000"/>
          <w:sz w:val="28"/>
          <w:szCs w:val="28"/>
        </w:rPr>
      </w:pPr>
      <w:r>
        <w:rPr>
          <w:rFonts w:hint="eastAsia" w:ascii="宋体" w:hAnsi="宋体"/>
          <w:b/>
          <w:bCs/>
          <w:color w:val="000000"/>
          <w:sz w:val="28"/>
          <w:szCs w:val="28"/>
        </w:rPr>
        <w:t>五、现场调研</w:t>
      </w:r>
    </w:p>
    <w:p w14:paraId="251A83F3">
      <w:pPr>
        <w:rPr>
          <w:sz w:val="18"/>
          <w:szCs w:val="21"/>
        </w:rPr>
      </w:pPr>
    </w:p>
    <w:p w14:paraId="0F2CCB36">
      <w:pPr>
        <w:spacing w:line="560" w:lineRule="exact"/>
        <w:ind w:firstLine="420" w:firstLineChars="200"/>
        <w:rPr>
          <w:rFonts w:ascii="宋体" w:hAnsi="宋体" w:cs="仿宋_GB2312"/>
          <w:color w:val="000000"/>
          <w:szCs w:val="21"/>
        </w:rPr>
      </w:pPr>
      <w:r>
        <w:rPr>
          <w:rFonts w:hint="eastAsia" w:ascii="宋体" w:hAnsi="宋体" w:cs="仿宋_GB2312"/>
          <w:color w:val="000000"/>
          <w:szCs w:val="21"/>
        </w:rPr>
        <w:t>项目具体情况请查看现场，联系电话：唐工 13222777718。</w:t>
      </w:r>
    </w:p>
    <w:p w14:paraId="4A7EE6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4NTY2ZTUwZDFiNGIwMTQyY2QwNjkxYTlmY2E0NzYifQ=="/>
  </w:docVars>
  <w:rsids>
    <w:rsidRoot w:val="61F8231B"/>
    <w:rsid w:val="0029394B"/>
    <w:rsid w:val="00515DD5"/>
    <w:rsid w:val="006D5B23"/>
    <w:rsid w:val="00990541"/>
    <w:rsid w:val="00BF7960"/>
    <w:rsid w:val="00CE6707"/>
    <w:rsid w:val="00E73E82"/>
    <w:rsid w:val="43D73020"/>
    <w:rsid w:val="45186E75"/>
    <w:rsid w:val="50E56BC4"/>
    <w:rsid w:val="61F8231B"/>
    <w:rsid w:val="7FFF9187"/>
    <w:rsid w:val="DFFFC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2"/>
    <w:basedOn w:val="1"/>
    <w:next w:val="1"/>
    <w:qFormat/>
    <w:uiPriority w:val="1"/>
    <w:pPr>
      <w:spacing w:before="100" w:beforeAutospacing="1" w:after="100" w:afterAutospacing="1"/>
      <w:jc w:val="left"/>
      <w:outlineLvl w:val="1"/>
    </w:pPr>
    <w:rPr>
      <w:rFonts w:hint="eastAsia" w:ascii="宋体" w:hAnsi="宋体"/>
      <w:b/>
      <w:kern w:val="0"/>
      <w:sz w:val="36"/>
      <w:szCs w:val="36"/>
    </w:rPr>
  </w:style>
  <w:style w:type="paragraph" w:styleId="4">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table" w:styleId="6">
    <w:name w:val="Table Grid"/>
    <w:basedOn w:val="5"/>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 New"/>
    <w:qFormat/>
    <w:uiPriority w:val="0"/>
    <w:pPr>
      <w:widowControl w:val="0"/>
      <w:jc w:val="both"/>
    </w:pPr>
    <w:rPr>
      <w:rFonts w:ascii="Times New Roman" w:hAnsi="Times New Roman" w:eastAsia="宋体" w:cs="Times New Roman"/>
      <w:szCs w:val="24"/>
      <w:lang w:val="en-US" w:eastAsia="zh-CN" w:bidi="ar-SA"/>
    </w:rPr>
  </w:style>
  <w:style w:type="paragraph" w:styleId="9">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1618</Words>
  <Characters>1722</Characters>
  <Lines>12</Lines>
  <Paragraphs>3</Paragraphs>
  <TotalTime>7</TotalTime>
  <ScaleCrop>false</ScaleCrop>
  <LinksUpToDate>false</LinksUpToDate>
  <CharactersWithSpaces>1735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2025-07-22T08:25:00Z</dcterms:created>
  <dc:creator>施吉利</dc:creator>
  <cp:lastModifiedBy>施吉利</cp:lastModifiedBy>
  <dcterms:modified xsi:type="dcterms:W3CDTF">2025-09-14T23:55:56Z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9584BCA4132441C59D8D02FB1FEB00E5_13</vt:lpwstr>
  </property>
  <property fmtid="{D5CDD505-2E9C-101B-9397-08002B2CF9AE}" pid="4" name="KSOTemplateDocerSaveRecord">
    <vt:lpwstr>eyJoZGlkIjoiNzk0ZTk0MjFlZTQ0YWFhNmNhNjViMjQ0ZmE4NGIwOGMiLCJ1c2VySWQiOiIxNDU4NzEzMTYxIn0=</vt:lpwstr>
  </property>
</Properties>
</file>