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2C0B1">
      <w:pPr>
        <w:pStyle w:val="5"/>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b/>
          <w:bCs/>
          <w:i w:val="0"/>
          <w:snapToGrid w:val="0"/>
          <w:color w:val="000000"/>
          <w:kern w:val="24"/>
          <w:sz w:val="36"/>
          <w:szCs w:val="36"/>
          <w:lang w:val="en-US" w:eastAsia="zh-CN" w:bidi="ar-SA"/>
        </w:rPr>
      </w:pPr>
      <w:r>
        <w:rPr>
          <w:rFonts w:hint="eastAsia" w:cs="宋体"/>
          <w:b/>
          <w:bCs/>
          <w:snapToGrid w:val="0"/>
          <w:color w:val="000000"/>
          <w:kern w:val="24"/>
          <w:sz w:val="36"/>
          <w:szCs w:val="36"/>
          <w:lang w:val="en-US" w:eastAsia="zh-CN" w:bidi="ar-SA"/>
        </w:rPr>
        <w:t>江苏省第二中医院</w:t>
      </w:r>
      <w:r>
        <w:rPr>
          <w:rFonts w:hint="eastAsia" w:ascii="宋体" w:hAnsi="宋体" w:eastAsia="宋体" w:cs="宋体"/>
          <w:b/>
          <w:bCs/>
          <w:i w:val="0"/>
          <w:snapToGrid w:val="0"/>
          <w:color w:val="000000"/>
          <w:kern w:val="24"/>
          <w:sz w:val="36"/>
          <w:szCs w:val="36"/>
          <w:lang w:val="en-US" w:eastAsia="zh-CN" w:bidi="ar-SA"/>
        </w:rPr>
        <w:t>智慧医疗建设</w:t>
      </w:r>
      <w:r>
        <w:rPr>
          <w:rFonts w:hint="eastAsia" w:cs="宋体"/>
          <w:b/>
          <w:bCs/>
          <w:i w:val="0"/>
          <w:snapToGrid w:val="0"/>
          <w:color w:val="000000"/>
          <w:kern w:val="24"/>
          <w:sz w:val="36"/>
          <w:szCs w:val="36"/>
          <w:lang w:val="en-US" w:eastAsia="zh-CN" w:bidi="ar-SA"/>
        </w:rPr>
        <w:t>项目</w:t>
      </w:r>
    </w:p>
    <w:p w14:paraId="2E837307">
      <w:pPr>
        <w:pStyle w:val="5"/>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kern w:val="24"/>
          <w:sz w:val="24"/>
          <w:szCs w:val="24"/>
          <w:lang w:eastAsia="zh-CN"/>
        </w:rPr>
      </w:pPr>
      <w:r>
        <w:rPr>
          <w:rFonts w:hint="eastAsia" w:cs="宋体"/>
          <w:b/>
          <w:bCs/>
          <w:snapToGrid w:val="0"/>
          <w:color w:val="000000"/>
          <w:kern w:val="24"/>
          <w:sz w:val="36"/>
          <w:szCs w:val="36"/>
          <w:lang w:val="en-US" w:eastAsia="zh-CN" w:bidi="ar-SA"/>
        </w:rPr>
        <w:t>监理</w:t>
      </w:r>
      <w:r>
        <w:rPr>
          <w:rFonts w:hint="eastAsia" w:ascii="宋体" w:hAnsi="宋体" w:eastAsia="宋体" w:cs="宋体"/>
          <w:b/>
          <w:bCs/>
          <w:snapToGrid w:val="0"/>
          <w:color w:val="000000"/>
          <w:kern w:val="24"/>
          <w:sz w:val="36"/>
          <w:szCs w:val="36"/>
          <w:lang w:val="en-US" w:eastAsia="zh-CN" w:bidi="ar-SA"/>
        </w:rPr>
        <w:t>服务</w:t>
      </w:r>
      <w:r>
        <w:rPr>
          <w:rFonts w:hint="eastAsia" w:cs="宋体"/>
          <w:b/>
          <w:bCs/>
          <w:snapToGrid w:val="0"/>
          <w:color w:val="000000"/>
          <w:kern w:val="24"/>
          <w:sz w:val="36"/>
          <w:szCs w:val="36"/>
          <w:lang w:val="en-US" w:eastAsia="zh-CN" w:bidi="ar-SA"/>
        </w:rPr>
        <w:t>需求</w:t>
      </w:r>
    </w:p>
    <w:p w14:paraId="19EC5C06">
      <w:pPr>
        <w:pStyle w:val="5"/>
        <w:widowControl w:val="0"/>
        <w:kinsoku/>
        <w:wordWrap w:val="0"/>
        <w:spacing w:line="360" w:lineRule="auto"/>
        <w:jc w:val="both"/>
        <w:outlineLvl w:val="0"/>
        <w:rPr>
          <w:rFonts w:hint="eastAsia" w:ascii="宋体" w:hAnsi="宋体" w:eastAsia="宋体" w:cs="宋体"/>
          <w:b/>
          <w:bCs/>
          <w:kern w:val="24"/>
          <w:sz w:val="24"/>
          <w:szCs w:val="24"/>
          <w:lang w:eastAsia="zh-CN"/>
        </w:rPr>
      </w:pPr>
      <w:r>
        <w:rPr>
          <w:rFonts w:hint="eastAsia" w:cs="宋体"/>
          <w:b/>
          <w:bCs/>
          <w:kern w:val="24"/>
          <w:sz w:val="24"/>
          <w:szCs w:val="24"/>
          <w:lang w:val="en-US" w:eastAsia="zh-CN"/>
        </w:rPr>
        <w:t>一</w:t>
      </w:r>
      <w:r>
        <w:rPr>
          <w:rFonts w:hint="eastAsia" w:ascii="宋体" w:hAnsi="宋体" w:eastAsia="宋体" w:cs="宋体"/>
          <w:b/>
          <w:bCs/>
          <w:kern w:val="24"/>
          <w:sz w:val="24"/>
          <w:szCs w:val="24"/>
          <w:lang w:eastAsia="zh-CN"/>
        </w:rPr>
        <w:t>、</w:t>
      </w:r>
      <w:r>
        <w:rPr>
          <w:rFonts w:hint="eastAsia" w:ascii="宋体" w:hAnsi="宋体" w:eastAsia="宋体" w:cs="宋体"/>
          <w:b/>
          <w:bCs/>
          <w:kern w:val="24"/>
          <w:sz w:val="24"/>
          <w:szCs w:val="24"/>
          <w:lang w:val="en-US" w:eastAsia="zh-CN"/>
        </w:rPr>
        <w:t>监理</w:t>
      </w:r>
      <w:r>
        <w:rPr>
          <w:rFonts w:hint="eastAsia" w:ascii="宋体" w:hAnsi="宋体" w:eastAsia="宋体" w:cs="宋体"/>
          <w:b/>
          <w:bCs/>
          <w:kern w:val="24"/>
          <w:sz w:val="24"/>
          <w:szCs w:val="24"/>
          <w:lang w:eastAsia="zh-CN"/>
        </w:rPr>
        <w:t>要求</w:t>
      </w:r>
    </w:p>
    <w:p w14:paraId="045CE0F9">
      <w:pPr>
        <w:spacing w:line="360" w:lineRule="auto"/>
        <w:ind w:firstLine="480" w:firstLineChars="200"/>
        <w:rPr>
          <w:rFonts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本次监理服务遵照GB/T19668.1-2014规范及“四控制、三管理、一协调”的原则，保证项目在规定的时间内完成，并实现项目建设的目标。</w:t>
      </w:r>
    </w:p>
    <w:p w14:paraId="06885978">
      <w:pPr>
        <w:spacing w:line="360" w:lineRule="auto"/>
        <w:ind w:firstLine="480" w:firstLineChars="200"/>
        <w:rPr>
          <w:rFonts w:hint="eastAsia"/>
          <w:kern w:val="24"/>
          <w:sz w:val="24"/>
          <w:szCs w:val="24"/>
          <w:lang w:eastAsia="zh-CN"/>
        </w:rPr>
      </w:pPr>
      <w:r>
        <w:rPr>
          <w:rFonts w:hint="eastAsia" w:ascii="宋体" w:hAnsi="宋体" w:eastAsia="宋体" w:cs="宋体"/>
          <w:snapToGrid w:val="0"/>
          <w:color w:val="000000"/>
          <w:spacing w:val="0"/>
          <w:sz w:val="24"/>
          <w:szCs w:val="24"/>
          <w:lang w:val="en-US" w:eastAsia="en-US" w:bidi="ar-SA"/>
        </w:rPr>
        <w:t>本次监理服务的主要内容包括技术总体方案把关、质量控制、进度控制、投资控制、变更控制、合同管理、信息及文档管理、安全管理、沟通管理、知识产权管理等。具体工作涵盖项目实施建设过程，包括硬件设备和软件产品购置，定制软件开发、最终系统集成、安装实施，调试、系统模块测试、集成测试、培训、试运行、项目验收、项目移交；相关各类项目会议的组织、记录，项目文档审查、归档、移交等管理工作；针对项目建设情况，提出合理化的改进改良建议；全面负责项目各方的工作协调、督办等；协助业主方完成上级各部门对本项目的检查、考核、验收等工作。</w:t>
      </w:r>
    </w:p>
    <w:p w14:paraId="1DD4B1E6">
      <w:pPr>
        <w:spacing w:line="360" w:lineRule="auto"/>
        <w:rPr>
          <w:rFonts w:hint="eastAsia" w:ascii="宋体" w:hAnsi="宋体" w:eastAsia="宋体" w:cs="宋体"/>
          <w:b/>
          <w:bCs/>
          <w:snapToGrid w:val="0"/>
          <w:color w:val="000000"/>
          <w:kern w:val="24"/>
          <w:sz w:val="24"/>
          <w:szCs w:val="24"/>
          <w:lang w:val="en-US" w:eastAsia="zh-CN" w:bidi="ar-SA"/>
        </w:rPr>
      </w:pPr>
      <w:bookmarkStart w:id="0" w:name="_GoBack"/>
      <w:bookmarkEnd w:id="0"/>
      <w:r>
        <w:rPr>
          <w:rFonts w:hint="eastAsia" w:ascii="宋体" w:hAnsi="宋体" w:eastAsia="宋体" w:cs="宋体"/>
          <w:b/>
          <w:bCs/>
          <w:snapToGrid w:val="0"/>
          <w:color w:val="000000"/>
          <w:kern w:val="24"/>
          <w:sz w:val="24"/>
          <w:szCs w:val="24"/>
          <w:lang w:val="en-US" w:eastAsia="zh-CN" w:bidi="ar-SA"/>
        </w:rPr>
        <w:t>二、技术要求及原则</w:t>
      </w:r>
    </w:p>
    <w:p w14:paraId="35169D14">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1、项目质量要求</w:t>
      </w:r>
    </w:p>
    <w:p w14:paraId="597F478B">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符合相关建设规范和要求，保证项目达到设计标准，满足交付条件。</w:t>
      </w:r>
    </w:p>
    <w:p w14:paraId="3D71FA5A">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2、项目周期</w:t>
      </w:r>
    </w:p>
    <w:p w14:paraId="2ECFCAB8">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项目进度要求：按照项目的总建设周期要求。</w:t>
      </w:r>
    </w:p>
    <w:p w14:paraId="1936C4A7">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3、监理范围</w:t>
      </w:r>
    </w:p>
    <w:p w14:paraId="37ECE136">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供应商须根据采购人的要求，完成</w:t>
      </w:r>
      <w:r>
        <w:rPr>
          <w:rFonts w:hint="eastAsia" w:ascii="宋体" w:hAnsi="宋体" w:eastAsia="宋体" w:cs="宋体"/>
          <w:snapToGrid w:val="0"/>
          <w:color w:val="000000"/>
          <w:spacing w:val="0"/>
          <w:sz w:val="24"/>
          <w:szCs w:val="24"/>
          <w:lang w:val="en-US" w:eastAsia="zh-Hans" w:bidi="ar-SA"/>
        </w:rPr>
        <w:t>本项目</w:t>
      </w:r>
      <w:r>
        <w:rPr>
          <w:rFonts w:hint="eastAsia" w:ascii="宋体" w:hAnsi="宋体" w:eastAsia="宋体" w:cs="宋体"/>
          <w:snapToGrid w:val="0"/>
          <w:color w:val="000000"/>
          <w:spacing w:val="0"/>
          <w:sz w:val="24"/>
          <w:szCs w:val="24"/>
          <w:lang w:val="en-US" w:eastAsia="zh-CN" w:bidi="ar-SA"/>
        </w:rPr>
        <w:t>监理工作，从监理单位开始后起至项目终验结束。监理单位根据项目各工序节点的要求，开展监理工作，工作范围包括：项目开发阶段的咨询、方案的评审，施工过程中“四控、三管、一协调”监理及项目验收工作。</w:t>
      </w:r>
    </w:p>
    <w:p w14:paraId="79D29C96">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4、监理工作</w:t>
      </w:r>
    </w:p>
    <w:p w14:paraId="6DEDAA4B">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4.</w:t>
      </w:r>
      <w:r>
        <w:rPr>
          <w:rFonts w:hint="eastAsia" w:ascii="宋体" w:hAnsi="宋体" w:eastAsia="宋体" w:cs="宋体"/>
          <w:snapToGrid w:val="0"/>
          <w:color w:val="000000"/>
          <w:spacing w:val="0"/>
          <w:sz w:val="24"/>
          <w:szCs w:val="24"/>
          <w:lang w:val="en-US" w:eastAsia="zh-CN" w:bidi="ar-SA"/>
        </w:rPr>
        <w:t xml:space="preserve">1 </w:t>
      </w:r>
      <w:r>
        <w:rPr>
          <w:rFonts w:hint="eastAsia" w:ascii="宋体" w:hAnsi="宋体" w:eastAsia="宋体" w:cs="宋体"/>
          <w:snapToGrid w:val="0"/>
          <w:color w:val="000000"/>
          <w:spacing w:val="0"/>
          <w:sz w:val="24"/>
          <w:szCs w:val="24"/>
          <w:lang w:val="en-US" w:eastAsia="en-US" w:bidi="ar-SA"/>
        </w:rPr>
        <w:t>项目终验监理工作</w:t>
      </w:r>
    </w:p>
    <w:p w14:paraId="0122498B">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（1）时间范围：自承建单位提出终验申请至终验结束。</w:t>
      </w:r>
    </w:p>
    <w:p w14:paraId="5417A367">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（2）工作内容</w:t>
      </w:r>
    </w:p>
    <w:p w14:paraId="34E82F08">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1）审查承建单位试运行情况总结；</w:t>
      </w:r>
    </w:p>
    <w:p w14:paraId="1C50B011">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2）组织编制项目结算书；</w:t>
      </w:r>
    </w:p>
    <w:p w14:paraId="1C3DA7AC">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3）编制项目监理工作报告；</w:t>
      </w:r>
    </w:p>
    <w:p w14:paraId="79181E63">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4）协助建设单位制定终验计划；</w:t>
      </w:r>
    </w:p>
    <w:p w14:paraId="53F74498">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5）审查质保期服务保障方案；</w:t>
      </w:r>
    </w:p>
    <w:p w14:paraId="36D37F85">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6）检查项目文档的齐备性，协助完成项目归档工作；</w:t>
      </w:r>
    </w:p>
    <w:p w14:paraId="2EAEA1C3">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7）协助组织终验会议；</w:t>
      </w:r>
    </w:p>
    <w:p w14:paraId="51361CA2">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8）验收通过签发移交证书；</w:t>
      </w:r>
    </w:p>
    <w:p w14:paraId="59DDCDC6">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9）协助并监督承建单位对建设单位的项目整体移交；</w:t>
      </w:r>
    </w:p>
    <w:p w14:paraId="1DCCA7D2">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10）督促承建单位对已完工项目中存在问题进行完善；</w:t>
      </w:r>
    </w:p>
    <w:p w14:paraId="53178C80">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如承建单位未能执行</w:t>
      </w:r>
      <w:r>
        <w:rPr>
          <w:rFonts w:hint="eastAsia" w:ascii="宋体" w:hAnsi="宋体" w:eastAsia="宋体" w:cs="宋体"/>
          <w:snapToGrid w:val="0"/>
          <w:color w:val="000000"/>
          <w:spacing w:val="0"/>
          <w:sz w:val="24"/>
          <w:szCs w:val="24"/>
          <w:lang w:val="en-US" w:eastAsia="zh-Hans" w:bidi="ar-SA"/>
        </w:rPr>
        <w:t>监理</w:t>
      </w:r>
      <w:r>
        <w:rPr>
          <w:rFonts w:hint="eastAsia" w:ascii="宋体" w:hAnsi="宋体" w:eastAsia="宋体" w:cs="宋体"/>
          <w:snapToGrid w:val="0"/>
          <w:color w:val="000000"/>
          <w:spacing w:val="0"/>
          <w:sz w:val="24"/>
          <w:szCs w:val="24"/>
          <w:lang w:val="en-US" w:eastAsia="en-US" w:bidi="ar-SA"/>
        </w:rPr>
        <w:t>机构</w:t>
      </w:r>
      <w:r>
        <w:rPr>
          <w:rFonts w:hint="eastAsia" w:ascii="宋体" w:hAnsi="宋体" w:eastAsia="宋体" w:cs="宋体"/>
          <w:snapToGrid w:val="0"/>
          <w:color w:val="000000"/>
          <w:spacing w:val="0"/>
          <w:sz w:val="24"/>
          <w:szCs w:val="24"/>
          <w:lang w:val="en-US" w:eastAsia="zh-Hans" w:bidi="ar-SA"/>
        </w:rPr>
        <w:t>指示</w:t>
      </w:r>
      <w:r>
        <w:rPr>
          <w:rFonts w:hint="eastAsia" w:ascii="宋体" w:hAnsi="宋体" w:eastAsia="宋体" w:cs="宋体"/>
          <w:snapToGrid w:val="0"/>
          <w:color w:val="000000"/>
          <w:spacing w:val="0"/>
          <w:sz w:val="24"/>
          <w:szCs w:val="24"/>
          <w:lang w:val="en-US" w:eastAsia="en-US" w:bidi="ar-SA"/>
        </w:rPr>
        <w:t>或未能在合理时间内完成问题整改，监理机构负责建议处理意见及后续相关工作的协调。</w:t>
      </w:r>
    </w:p>
    <w:p w14:paraId="3CFBCA06">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（3）工作成果</w:t>
      </w:r>
    </w:p>
    <w:p w14:paraId="41E88B3C">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1）承建单位试运行情况总结审查记录单；</w:t>
      </w:r>
    </w:p>
    <w:p w14:paraId="519A796F">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2）维保期服务保障方案审查记录单；</w:t>
      </w:r>
    </w:p>
    <w:p w14:paraId="3E64EAC9">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3）终验计划；</w:t>
      </w:r>
    </w:p>
    <w:p w14:paraId="73625FF9">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4）监理工作报告；</w:t>
      </w:r>
    </w:p>
    <w:p w14:paraId="51B0F5F2">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5）终验会议纪要；</w:t>
      </w:r>
    </w:p>
    <w:p w14:paraId="376D8DC2">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6）终验报告；</w:t>
      </w:r>
    </w:p>
    <w:p w14:paraId="372B4082">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7）移交证书；</w:t>
      </w:r>
    </w:p>
    <w:p w14:paraId="34E044F3">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8）问题整改监理通知单；</w:t>
      </w:r>
    </w:p>
    <w:p w14:paraId="2F93DA24">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9）索赔处理意见。</w:t>
      </w:r>
    </w:p>
    <w:p w14:paraId="6B0C35EA">
      <w:pPr>
        <w:spacing w:line="360" w:lineRule="auto"/>
        <w:ind w:firstLine="480" w:firstLineChars="200"/>
        <w:rPr>
          <w:rFonts w:hint="eastAsia" w:ascii="宋体" w:hAnsi="宋体" w:eastAsia="宋体" w:cs="宋体"/>
          <w:snapToGrid w:val="0"/>
          <w:color w:val="000000"/>
          <w:spacing w:val="0"/>
          <w:sz w:val="24"/>
          <w:szCs w:val="24"/>
          <w:lang w:val="en-US" w:eastAsia="zh-CN" w:bidi="ar-SA"/>
        </w:rPr>
      </w:pPr>
      <w:r>
        <w:rPr>
          <w:rFonts w:hint="eastAsia" w:ascii="宋体" w:hAnsi="宋体" w:eastAsia="宋体" w:cs="宋体"/>
          <w:snapToGrid w:val="0"/>
          <w:color w:val="000000"/>
          <w:spacing w:val="0"/>
          <w:sz w:val="24"/>
          <w:szCs w:val="24"/>
          <w:lang w:val="en-US" w:eastAsia="zh-CN" w:bidi="ar-SA"/>
        </w:rPr>
        <w:t>5、项目实施保密要求</w:t>
      </w:r>
    </w:p>
    <w:p w14:paraId="442D7D16">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（1）监理单位加强内部保密和信息安全管理，因中标人造成的数据泄密、网络与信息安全问题，由中标人承担所有责任。</w:t>
      </w:r>
    </w:p>
    <w:p w14:paraId="4B9E9868">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（2）</w:t>
      </w:r>
      <w:r>
        <w:rPr>
          <w:rFonts w:hint="eastAsia" w:ascii="宋体" w:hAnsi="宋体" w:eastAsia="宋体" w:cs="宋体"/>
          <w:snapToGrid w:val="0"/>
          <w:color w:val="000000"/>
          <w:spacing w:val="0"/>
          <w:sz w:val="24"/>
          <w:szCs w:val="24"/>
          <w:lang w:val="en-US" w:eastAsia="zh-CN" w:bidi="ar-SA"/>
        </w:rPr>
        <w:t>报价人</w:t>
      </w:r>
      <w:r>
        <w:rPr>
          <w:rFonts w:hint="eastAsia" w:ascii="宋体" w:hAnsi="宋体" w:eastAsia="宋体" w:cs="宋体"/>
          <w:snapToGrid w:val="0"/>
          <w:color w:val="000000"/>
          <w:spacing w:val="0"/>
          <w:sz w:val="24"/>
          <w:szCs w:val="24"/>
          <w:lang w:val="en-US" w:eastAsia="en-US" w:bidi="ar-SA"/>
        </w:rPr>
        <w:t>中标后须与采购人签署保密协议,对中标人在项目实施过程中获得的项目相关信息承担保密责任，对项目实施过程中涉及的敏感信息严格遵循《中华人民共和国保守国家秘密法》相关要求进行保护，因中标人造成泄密、网络与信息安全问题的，由中标人承担所有责任。</w:t>
      </w:r>
    </w:p>
    <w:p w14:paraId="30C3788E">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（3）</w:t>
      </w:r>
      <w:r>
        <w:rPr>
          <w:rFonts w:hint="eastAsia" w:ascii="宋体" w:hAnsi="宋体" w:eastAsia="宋体" w:cs="宋体"/>
          <w:snapToGrid w:val="0"/>
          <w:color w:val="000000"/>
          <w:spacing w:val="0"/>
          <w:sz w:val="24"/>
          <w:szCs w:val="24"/>
          <w:lang w:val="en-US" w:eastAsia="zh-CN" w:bidi="ar-SA"/>
        </w:rPr>
        <w:t>报价人</w:t>
      </w:r>
      <w:r>
        <w:rPr>
          <w:rFonts w:hint="eastAsia" w:ascii="宋体" w:hAnsi="宋体" w:eastAsia="宋体" w:cs="宋体"/>
          <w:snapToGrid w:val="0"/>
          <w:color w:val="000000"/>
          <w:spacing w:val="0"/>
          <w:sz w:val="24"/>
          <w:szCs w:val="24"/>
          <w:lang w:val="en-US" w:eastAsia="en-US" w:bidi="ar-SA"/>
        </w:rPr>
        <w:t>应当提供与采购人的保密协议草拟本，并在中标后与采购人签署保密协议，约定：对于监理服务所获取的相关信息进行严格保密，未经授权不得泄露给任何单位和个人，不得利用此数据、信息进行任何侵害本项目涉及和相关的任何信息系统的行为。</w:t>
      </w:r>
    </w:p>
    <w:p w14:paraId="02109010">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（4）</w:t>
      </w:r>
      <w:r>
        <w:rPr>
          <w:rFonts w:hint="eastAsia" w:ascii="宋体" w:hAnsi="宋体" w:eastAsia="宋体" w:cs="宋体"/>
          <w:snapToGrid w:val="0"/>
          <w:color w:val="000000"/>
          <w:spacing w:val="0"/>
          <w:sz w:val="24"/>
          <w:szCs w:val="24"/>
          <w:lang w:val="en-US" w:eastAsia="zh-CN" w:bidi="ar-SA"/>
        </w:rPr>
        <w:t>报价人</w:t>
      </w:r>
      <w:r>
        <w:rPr>
          <w:rFonts w:hint="eastAsia" w:ascii="宋体" w:hAnsi="宋体" w:eastAsia="宋体" w:cs="宋体"/>
          <w:snapToGrid w:val="0"/>
          <w:color w:val="000000"/>
          <w:spacing w:val="0"/>
          <w:sz w:val="24"/>
          <w:szCs w:val="24"/>
          <w:lang w:val="en-US" w:eastAsia="en-US" w:bidi="ar-SA"/>
        </w:rPr>
        <w:t>应当提供项目成员与采购人的保密协议草拟本。中标后，中标人参与本项目的人员，必须与采购人签订保密协议，约束项目成员的保密义务，并严格控制本项目的信息扩散范围只在该小组成员为了完成监理服务工作所必需知道的最少信息范围内。</w:t>
      </w:r>
    </w:p>
    <w:p w14:paraId="216C445E">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（5）中标人在本项目中所获取的相关信息和产生的报告，必须提供给采购人指定人员，不得随意扩散。</w:t>
      </w:r>
    </w:p>
    <w:p w14:paraId="407D1D0F">
      <w:pPr>
        <w:spacing w:line="360" w:lineRule="auto"/>
        <w:ind w:firstLine="480" w:firstLineChars="200"/>
        <w:rPr>
          <w:rFonts w:hint="eastAsia" w:ascii="宋体" w:hAnsi="宋体" w:eastAsia="宋体" w:cs="宋体"/>
          <w:snapToGrid w:val="0"/>
          <w:color w:val="000000"/>
          <w:spacing w:val="0"/>
          <w:sz w:val="24"/>
          <w:szCs w:val="24"/>
          <w:lang w:val="en-US" w:eastAsia="en-US" w:bidi="ar-SA"/>
        </w:rPr>
      </w:pPr>
      <w:r>
        <w:rPr>
          <w:rFonts w:hint="eastAsia" w:ascii="宋体" w:hAnsi="宋体" w:eastAsia="宋体" w:cs="宋体"/>
          <w:snapToGrid w:val="0"/>
          <w:color w:val="000000"/>
          <w:spacing w:val="0"/>
          <w:sz w:val="24"/>
          <w:szCs w:val="24"/>
          <w:lang w:val="en-US" w:eastAsia="en-US" w:bidi="ar-SA"/>
        </w:rPr>
        <w:t>（6）中标人若有失密行为将承担所有经济、法律责任。</w:t>
      </w:r>
    </w:p>
    <w:p w14:paraId="78CCC243">
      <w:pPr>
        <w:pStyle w:val="5"/>
        <w:kinsoku/>
        <w:spacing w:line="360" w:lineRule="auto"/>
        <w:jc w:val="both"/>
        <w:outlineLvl w:val="0"/>
        <w:rPr>
          <w:rFonts w:hint="eastAsia"/>
          <w:kern w:val="24"/>
          <w:sz w:val="24"/>
          <w:szCs w:val="24"/>
          <w:lang w:eastAsia="zh-CN"/>
        </w:rPr>
      </w:pPr>
      <w:r>
        <w:rPr>
          <w:rFonts w:hint="eastAsia"/>
          <w:b/>
          <w:bCs/>
          <w:kern w:val="24"/>
          <w:sz w:val="24"/>
          <w:szCs w:val="24"/>
          <w:lang w:val="en-US" w:eastAsia="zh-CN"/>
        </w:rPr>
        <w:t>三</w:t>
      </w:r>
      <w:r>
        <w:rPr>
          <w:rFonts w:hint="eastAsia"/>
          <w:b/>
          <w:bCs/>
          <w:kern w:val="24"/>
          <w:sz w:val="24"/>
          <w:szCs w:val="24"/>
          <w:lang w:eastAsia="zh-CN"/>
        </w:rPr>
        <w:t>、申请人的资格要求</w:t>
      </w:r>
    </w:p>
    <w:p w14:paraId="6D818E88">
      <w:pPr>
        <w:pStyle w:val="5"/>
        <w:kinsoku/>
        <w:spacing w:line="360" w:lineRule="auto"/>
        <w:ind w:firstLine="480" w:firstLineChars="200"/>
        <w:jc w:val="both"/>
        <w:rPr>
          <w:rFonts w:hint="eastAsia"/>
          <w:kern w:val="24"/>
          <w:sz w:val="24"/>
          <w:szCs w:val="24"/>
          <w:lang w:eastAsia="zh-CN"/>
        </w:rPr>
      </w:pPr>
      <w:r>
        <w:rPr>
          <w:rFonts w:hint="eastAsia"/>
          <w:kern w:val="24"/>
          <w:sz w:val="24"/>
          <w:szCs w:val="24"/>
          <w:lang w:eastAsia="zh-CN"/>
        </w:rPr>
        <w:t>1、具有独立承担民事责任的能力（提供法人或者其他组织的营业执照等证明文件，自然人的身份证明）；</w:t>
      </w:r>
    </w:p>
    <w:p w14:paraId="3584D1D8">
      <w:pPr>
        <w:pStyle w:val="5"/>
        <w:kinsoku/>
        <w:spacing w:line="360" w:lineRule="auto"/>
        <w:ind w:firstLine="480" w:firstLineChars="200"/>
        <w:jc w:val="both"/>
        <w:rPr>
          <w:rFonts w:hint="eastAsia"/>
          <w:kern w:val="24"/>
          <w:sz w:val="24"/>
          <w:szCs w:val="24"/>
          <w:lang w:eastAsia="zh-CN"/>
        </w:rPr>
      </w:pPr>
      <w:r>
        <w:rPr>
          <w:rFonts w:hint="eastAsia"/>
          <w:kern w:val="24"/>
          <w:sz w:val="24"/>
          <w:szCs w:val="24"/>
          <w:lang w:eastAsia="zh-CN"/>
        </w:rPr>
        <w:t>2、具有良好的商业信誉和健全的财务会计制度（提供最近一期的财务状况报告，其他组织、自然人提供银行出具的资信证明）；</w:t>
      </w:r>
    </w:p>
    <w:p w14:paraId="3DDDB004">
      <w:pPr>
        <w:pStyle w:val="5"/>
        <w:kinsoku/>
        <w:spacing w:line="360" w:lineRule="auto"/>
        <w:ind w:firstLine="480" w:firstLineChars="200"/>
        <w:jc w:val="both"/>
        <w:rPr>
          <w:rFonts w:hint="eastAsia"/>
          <w:kern w:val="24"/>
          <w:sz w:val="24"/>
          <w:szCs w:val="24"/>
          <w:lang w:eastAsia="zh-CN"/>
        </w:rPr>
      </w:pPr>
      <w:r>
        <w:rPr>
          <w:rFonts w:hint="eastAsia"/>
          <w:kern w:val="24"/>
          <w:sz w:val="24"/>
          <w:szCs w:val="24"/>
          <w:lang w:val="en-US" w:eastAsia="zh-CN"/>
        </w:rPr>
        <w:t>3</w:t>
      </w:r>
      <w:r>
        <w:rPr>
          <w:rFonts w:hint="eastAsia"/>
          <w:kern w:val="24"/>
          <w:sz w:val="24"/>
          <w:szCs w:val="24"/>
          <w:lang w:eastAsia="zh-CN"/>
        </w:rPr>
        <w:t>、有依法缴纳税收和社会保障资金的良好记录（提供参加本次政府采购活动前半年（至少一个月）依法缴纳税收和社会保障资金的证明材料，依法免税或不需要缴纳社会保障资金的，提供相关证明文件）；</w:t>
      </w:r>
    </w:p>
    <w:p w14:paraId="3E3C866D">
      <w:pPr>
        <w:pStyle w:val="5"/>
        <w:kinsoku/>
        <w:spacing w:line="360" w:lineRule="auto"/>
        <w:ind w:firstLine="480" w:firstLineChars="200"/>
        <w:jc w:val="both"/>
        <w:rPr>
          <w:rFonts w:hint="eastAsia"/>
          <w:kern w:val="24"/>
          <w:sz w:val="24"/>
          <w:szCs w:val="24"/>
          <w:lang w:eastAsia="zh-CN"/>
        </w:rPr>
      </w:pPr>
      <w:r>
        <w:rPr>
          <w:rFonts w:hint="eastAsia"/>
          <w:kern w:val="24"/>
          <w:sz w:val="24"/>
          <w:szCs w:val="24"/>
          <w:lang w:val="en-US" w:eastAsia="zh-CN"/>
        </w:rPr>
        <w:t>4</w:t>
      </w:r>
      <w:r>
        <w:rPr>
          <w:rFonts w:hint="eastAsia"/>
          <w:kern w:val="24"/>
          <w:sz w:val="24"/>
          <w:szCs w:val="24"/>
          <w:lang w:eastAsia="zh-CN"/>
        </w:rPr>
        <w:t>、参加政府采购活动前三年内，在经营活动中没有重大违法记录（提供参加本次政府采购活动前3年内在经营活动中没有重大违法记录的书面声明）；</w:t>
      </w:r>
    </w:p>
    <w:p w14:paraId="580DD355">
      <w:pPr>
        <w:pStyle w:val="5"/>
        <w:kinsoku/>
        <w:spacing w:line="360" w:lineRule="auto"/>
        <w:jc w:val="both"/>
        <w:outlineLvl w:val="0"/>
        <w:rPr>
          <w:rFonts w:hint="eastAsia"/>
          <w:kern w:val="24"/>
          <w:sz w:val="24"/>
          <w:szCs w:val="24"/>
          <w:lang w:eastAsia="zh-CN"/>
        </w:rPr>
      </w:pPr>
      <w:r>
        <w:rPr>
          <w:rFonts w:hint="eastAsia"/>
          <w:b/>
          <w:bCs/>
          <w:kern w:val="24"/>
          <w:sz w:val="24"/>
          <w:szCs w:val="24"/>
          <w:lang w:val="en-US" w:eastAsia="zh-CN"/>
        </w:rPr>
        <w:t>四</w:t>
      </w:r>
      <w:r>
        <w:rPr>
          <w:rFonts w:hint="eastAsia"/>
          <w:b/>
          <w:bCs/>
          <w:kern w:val="24"/>
          <w:sz w:val="24"/>
          <w:szCs w:val="24"/>
          <w:lang w:eastAsia="zh-CN"/>
        </w:rPr>
        <w:t>、项目联系方式</w:t>
      </w:r>
    </w:p>
    <w:p w14:paraId="38F680AD">
      <w:pPr>
        <w:pStyle w:val="5"/>
        <w:kinsoku/>
        <w:spacing w:line="360" w:lineRule="auto"/>
        <w:ind w:firstLine="480" w:firstLineChars="200"/>
        <w:jc w:val="both"/>
        <w:rPr>
          <w:rFonts w:hint="eastAsia"/>
          <w:kern w:val="24"/>
          <w:sz w:val="24"/>
          <w:szCs w:val="24"/>
          <w:lang w:val="en-US" w:eastAsia="zh-CN"/>
        </w:rPr>
      </w:pPr>
      <w:r>
        <w:rPr>
          <w:rFonts w:hint="eastAsia"/>
          <w:kern w:val="24"/>
          <w:sz w:val="24"/>
          <w:szCs w:val="24"/>
          <w:lang w:eastAsia="zh-CN"/>
        </w:rPr>
        <w:t>联系人：</w:t>
      </w:r>
      <w:r>
        <w:rPr>
          <w:rFonts w:hint="eastAsia"/>
          <w:kern w:val="24"/>
          <w:sz w:val="24"/>
          <w:szCs w:val="24"/>
          <w:lang w:val="en-US" w:eastAsia="zh-CN"/>
        </w:rPr>
        <w:t>倪凌</w:t>
      </w:r>
    </w:p>
    <w:p w14:paraId="2FD7EFD4">
      <w:pPr>
        <w:pStyle w:val="5"/>
        <w:kinsoku/>
        <w:spacing w:line="360" w:lineRule="auto"/>
        <w:ind w:firstLine="480" w:firstLineChars="200"/>
        <w:jc w:val="both"/>
        <w:rPr>
          <w:rFonts w:hint="default"/>
          <w:kern w:val="24"/>
          <w:sz w:val="24"/>
          <w:szCs w:val="24"/>
          <w:lang w:val="en-US" w:eastAsia="zh-CN"/>
        </w:rPr>
      </w:pPr>
      <w:r>
        <w:rPr>
          <w:rFonts w:hint="eastAsia"/>
          <w:kern w:val="24"/>
          <w:sz w:val="24"/>
          <w:szCs w:val="24"/>
          <w:lang w:eastAsia="zh-CN"/>
        </w:rPr>
        <w:t>联系方式：</w:t>
      </w:r>
      <w:r>
        <w:rPr>
          <w:rFonts w:hint="eastAsia"/>
          <w:kern w:val="24"/>
          <w:sz w:val="24"/>
          <w:szCs w:val="24"/>
          <w:lang w:val="en-US" w:eastAsia="zh-CN"/>
        </w:rPr>
        <w:t>13814047580</w:t>
      </w:r>
    </w:p>
    <w:sectPr>
      <w:pgSz w:w="11820" w:h="16780"/>
      <w:pgMar w:top="1440" w:right="1800" w:bottom="1440" w:left="18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DB4"/>
    <w:rsid w:val="000118DE"/>
    <w:rsid w:val="000251F9"/>
    <w:rsid w:val="00037874"/>
    <w:rsid w:val="0004030E"/>
    <w:rsid w:val="00040E25"/>
    <w:rsid w:val="000413CB"/>
    <w:rsid w:val="00043090"/>
    <w:rsid w:val="00056466"/>
    <w:rsid w:val="000721F3"/>
    <w:rsid w:val="000927C8"/>
    <w:rsid w:val="000A03F3"/>
    <w:rsid w:val="000A7B3E"/>
    <w:rsid w:val="000B2152"/>
    <w:rsid w:val="000D2BCC"/>
    <w:rsid w:val="00112142"/>
    <w:rsid w:val="001210C6"/>
    <w:rsid w:val="001271A0"/>
    <w:rsid w:val="00153CB3"/>
    <w:rsid w:val="00157B43"/>
    <w:rsid w:val="00163683"/>
    <w:rsid w:val="00176E1F"/>
    <w:rsid w:val="0017794E"/>
    <w:rsid w:val="00186549"/>
    <w:rsid w:val="001908AB"/>
    <w:rsid w:val="00194B23"/>
    <w:rsid w:val="001A55D0"/>
    <w:rsid w:val="001A6EE0"/>
    <w:rsid w:val="001D4EA0"/>
    <w:rsid w:val="001E4878"/>
    <w:rsid w:val="001F14DD"/>
    <w:rsid w:val="001F329D"/>
    <w:rsid w:val="0023146A"/>
    <w:rsid w:val="00261992"/>
    <w:rsid w:val="002622EE"/>
    <w:rsid w:val="0027621F"/>
    <w:rsid w:val="00277E53"/>
    <w:rsid w:val="002A2F56"/>
    <w:rsid w:val="002C10B0"/>
    <w:rsid w:val="002C6E90"/>
    <w:rsid w:val="002C7E51"/>
    <w:rsid w:val="002E68D0"/>
    <w:rsid w:val="002F71A9"/>
    <w:rsid w:val="00316E86"/>
    <w:rsid w:val="00335780"/>
    <w:rsid w:val="003377EF"/>
    <w:rsid w:val="00343AE6"/>
    <w:rsid w:val="00367C4E"/>
    <w:rsid w:val="0037202F"/>
    <w:rsid w:val="003B4949"/>
    <w:rsid w:val="003B6DE7"/>
    <w:rsid w:val="003C12B9"/>
    <w:rsid w:val="003E267D"/>
    <w:rsid w:val="00402A92"/>
    <w:rsid w:val="00404209"/>
    <w:rsid w:val="00440EB6"/>
    <w:rsid w:val="0044335B"/>
    <w:rsid w:val="004439EE"/>
    <w:rsid w:val="00443E52"/>
    <w:rsid w:val="00466930"/>
    <w:rsid w:val="00477EF0"/>
    <w:rsid w:val="004A019F"/>
    <w:rsid w:val="004A4181"/>
    <w:rsid w:val="004C68B4"/>
    <w:rsid w:val="004D1C7B"/>
    <w:rsid w:val="004D4E06"/>
    <w:rsid w:val="004E66CB"/>
    <w:rsid w:val="004F0C1D"/>
    <w:rsid w:val="005002D0"/>
    <w:rsid w:val="00500A46"/>
    <w:rsid w:val="00507A14"/>
    <w:rsid w:val="00507A74"/>
    <w:rsid w:val="00511742"/>
    <w:rsid w:val="00520F7E"/>
    <w:rsid w:val="00524AB5"/>
    <w:rsid w:val="005276EA"/>
    <w:rsid w:val="0052781B"/>
    <w:rsid w:val="0053000B"/>
    <w:rsid w:val="00541378"/>
    <w:rsid w:val="00553C4C"/>
    <w:rsid w:val="00572D63"/>
    <w:rsid w:val="00580A7A"/>
    <w:rsid w:val="00593E4F"/>
    <w:rsid w:val="005A5884"/>
    <w:rsid w:val="005B1134"/>
    <w:rsid w:val="005C5071"/>
    <w:rsid w:val="005E32F3"/>
    <w:rsid w:val="005E3BBC"/>
    <w:rsid w:val="005F2FB3"/>
    <w:rsid w:val="005F5B6F"/>
    <w:rsid w:val="00606ADF"/>
    <w:rsid w:val="00612347"/>
    <w:rsid w:val="00622C6E"/>
    <w:rsid w:val="00626C24"/>
    <w:rsid w:val="006304C0"/>
    <w:rsid w:val="00653D21"/>
    <w:rsid w:val="006551A1"/>
    <w:rsid w:val="0067357C"/>
    <w:rsid w:val="00683830"/>
    <w:rsid w:val="0069631F"/>
    <w:rsid w:val="00697326"/>
    <w:rsid w:val="006A4D20"/>
    <w:rsid w:val="006B1814"/>
    <w:rsid w:val="006E2636"/>
    <w:rsid w:val="00700B25"/>
    <w:rsid w:val="007079F6"/>
    <w:rsid w:val="00737795"/>
    <w:rsid w:val="00740F26"/>
    <w:rsid w:val="007410BE"/>
    <w:rsid w:val="00743765"/>
    <w:rsid w:val="00753B38"/>
    <w:rsid w:val="00757C10"/>
    <w:rsid w:val="00763015"/>
    <w:rsid w:val="00783D8C"/>
    <w:rsid w:val="00794B8E"/>
    <w:rsid w:val="00796F3A"/>
    <w:rsid w:val="007A20E5"/>
    <w:rsid w:val="007A55BC"/>
    <w:rsid w:val="007F4E42"/>
    <w:rsid w:val="008118F6"/>
    <w:rsid w:val="00834EF4"/>
    <w:rsid w:val="008360F0"/>
    <w:rsid w:val="00850061"/>
    <w:rsid w:val="00850537"/>
    <w:rsid w:val="00855048"/>
    <w:rsid w:val="008638DB"/>
    <w:rsid w:val="00872E31"/>
    <w:rsid w:val="00881419"/>
    <w:rsid w:val="0088790F"/>
    <w:rsid w:val="00893202"/>
    <w:rsid w:val="008979D9"/>
    <w:rsid w:val="008B1636"/>
    <w:rsid w:val="008B3CB2"/>
    <w:rsid w:val="008F765E"/>
    <w:rsid w:val="00901F05"/>
    <w:rsid w:val="00920E3A"/>
    <w:rsid w:val="00920FDC"/>
    <w:rsid w:val="0093720F"/>
    <w:rsid w:val="009418E1"/>
    <w:rsid w:val="009608AE"/>
    <w:rsid w:val="0096669C"/>
    <w:rsid w:val="009715A4"/>
    <w:rsid w:val="009B0AB0"/>
    <w:rsid w:val="009C686D"/>
    <w:rsid w:val="009D3A80"/>
    <w:rsid w:val="009D4BDD"/>
    <w:rsid w:val="009E0096"/>
    <w:rsid w:val="00A11152"/>
    <w:rsid w:val="00A11784"/>
    <w:rsid w:val="00A61A95"/>
    <w:rsid w:val="00A64222"/>
    <w:rsid w:val="00A74A80"/>
    <w:rsid w:val="00A823C2"/>
    <w:rsid w:val="00AB26B0"/>
    <w:rsid w:val="00AB6F03"/>
    <w:rsid w:val="00AC3E8B"/>
    <w:rsid w:val="00AD26D4"/>
    <w:rsid w:val="00AD3C86"/>
    <w:rsid w:val="00AE03CA"/>
    <w:rsid w:val="00AF42D7"/>
    <w:rsid w:val="00B3134E"/>
    <w:rsid w:val="00B3262E"/>
    <w:rsid w:val="00B37E94"/>
    <w:rsid w:val="00B42DB4"/>
    <w:rsid w:val="00B503BC"/>
    <w:rsid w:val="00B578E9"/>
    <w:rsid w:val="00B71068"/>
    <w:rsid w:val="00B757A0"/>
    <w:rsid w:val="00B84BA0"/>
    <w:rsid w:val="00B8500A"/>
    <w:rsid w:val="00B91C53"/>
    <w:rsid w:val="00B91E88"/>
    <w:rsid w:val="00B956D5"/>
    <w:rsid w:val="00BA0F77"/>
    <w:rsid w:val="00BC279A"/>
    <w:rsid w:val="00BF177C"/>
    <w:rsid w:val="00BF3A03"/>
    <w:rsid w:val="00C01461"/>
    <w:rsid w:val="00C058DC"/>
    <w:rsid w:val="00C61353"/>
    <w:rsid w:val="00C64A36"/>
    <w:rsid w:val="00C66DA8"/>
    <w:rsid w:val="00C96432"/>
    <w:rsid w:val="00CA1E2B"/>
    <w:rsid w:val="00CB13EB"/>
    <w:rsid w:val="00CB45AC"/>
    <w:rsid w:val="00CD27F4"/>
    <w:rsid w:val="00CD4DE7"/>
    <w:rsid w:val="00CE1929"/>
    <w:rsid w:val="00CF1ECE"/>
    <w:rsid w:val="00CF31A8"/>
    <w:rsid w:val="00D2021A"/>
    <w:rsid w:val="00D474CE"/>
    <w:rsid w:val="00D50373"/>
    <w:rsid w:val="00D538BA"/>
    <w:rsid w:val="00D543D6"/>
    <w:rsid w:val="00D54E28"/>
    <w:rsid w:val="00D6306C"/>
    <w:rsid w:val="00D676F6"/>
    <w:rsid w:val="00DA4D35"/>
    <w:rsid w:val="00DC3335"/>
    <w:rsid w:val="00DC4646"/>
    <w:rsid w:val="00DD0F16"/>
    <w:rsid w:val="00DE084D"/>
    <w:rsid w:val="00DF7ABA"/>
    <w:rsid w:val="00E129C5"/>
    <w:rsid w:val="00E13197"/>
    <w:rsid w:val="00E17A79"/>
    <w:rsid w:val="00E24554"/>
    <w:rsid w:val="00E41391"/>
    <w:rsid w:val="00E60E81"/>
    <w:rsid w:val="00E61B9B"/>
    <w:rsid w:val="00E62CB5"/>
    <w:rsid w:val="00E74A12"/>
    <w:rsid w:val="00E90752"/>
    <w:rsid w:val="00E95C05"/>
    <w:rsid w:val="00EA52BF"/>
    <w:rsid w:val="00EA73AC"/>
    <w:rsid w:val="00EC6C29"/>
    <w:rsid w:val="00F201CA"/>
    <w:rsid w:val="00F230CD"/>
    <w:rsid w:val="00F26008"/>
    <w:rsid w:val="00F518B6"/>
    <w:rsid w:val="00F55C26"/>
    <w:rsid w:val="00F61578"/>
    <w:rsid w:val="00F77844"/>
    <w:rsid w:val="00F950F7"/>
    <w:rsid w:val="00F962A7"/>
    <w:rsid w:val="00FB0A22"/>
    <w:rsid w:val="00FB42A7"/>
    <w:rsid w:val="00FD4BC1"/>
    <w:rsid w:val="00FF50FE"/>
    <w:rsid w:val="00FF721E"/>
    <w:rsid w:val="01F57CDD"/>
    <w:rsid w:val="029C7C8E"/>
    <w:rsid w:val="04256CCE"/>
    <w:rsid w:val="04AD616D"/>
    <w:rsid w:val="07F27D26"/>
    <w:rsid w:val="0A8F2E5C"/>
    <w:rsid w:val="12641821"/>
    <w:rsid w:val="1EAF456F"/>
    <w:rsid w:val="26003524"/>
    <w:rsid w:val="2D5F76A5"/>
    <w:rsid w:val="33CC4F4C"/>
    <w:rsid w:val="3CC43150"/>
    <w:rsid w:val="3CD165D4"/>
    <w:rsid w:val="3ECF7A14"/>
    <w:rsid w:val="43B436DA"/>
    <w:rsid w:val="451F03F8"/>
    <w:rsid w:val="47326B5E"/>
    <w:rsid w:val="486903C2"/>
    <w:rsid w:val="4E1C41B2"/>
    <w:rsid w:val="53733096"/>
    <w:rsid w:val="53A90C1B"/>
    <w:rsid w:val="53B018C0"/>
    <w:rsid w:val="58546400"/>
    <w:rsid w:val="5A144EF4"/>
    <w:rsid w:val="60DB421D"/>
    <w:rsid w:val="615E7828"/>
    <w:rsid w:val="63B1721D"/>
    <w:rsid w:val="64D771FD"/>
    <w:rsid w:val="6CD019EC"/>
    <w:rsid w:val="6E144C49"/>
    <w:rsid w:val="71053DFA"/>
    <w:rsid w:val="731D44A6"/>
    <w:rsid w:val="76A4358C"/>
    <w:rsid w:val="7D1B064F"/>
    <w:rsid w:val="7D326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4">
    <w:name w:val="heading 1"/>
    <w:basedOn w:val="1"/>
    <w:next w:val="1"/>
    <w:link w:val="17"/>
    <w:qFormat/>
    <w:uiPriority w:val="9"/>
    <w:pPr>
      <w:kinsoku/>
      <w:autoSpaceDE/>
      <w:autoSpaceDN/>
      <w:adjustRightInd/>
      <w:snapToGrid/>
      <w:spacing w:before="100" w:beforeAutospacing="1" w:after="100" w:afterAutospacing="1"/>
      <w:textAlignment w:val="auto"/>
      <w:outlineLvl w:val="0"/>
    </w:pPr>
    <w:rPr>
      <w:rFonts w:ascii="宋体" w:hAnsi="宋体" w:eastAsia="宋体" w:cs="宋体"/>
      <w:b/>
      <w:bCs/>
      <w:snapToGrid/>
      <w:color w:val="auto"/>
      <w:kern w:val="36"/>
      <w:sz w:val="48"/>
      <w:szCs w:val="48"/>
      <w:lang w:eastAsia="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Body Text"/>
    <w:basedOn w:val="1"/>
    <w:next w:val="6"/>
    <w:link w:val="21"/>
    <w:semiHidden/>
    <w:qFormat/>
    <w:uiPriority w:val="0"/>
    <w:rPr>
      <w:rFonts w:ascii="宋体" w:hAnsi="宋体" w:eastAsia="宋体" w:cs="宋体"/>
      <w:sz w:val="31"/>
      <w:szCs w:val="31"/>
    </w:rPr>
  </w:style>
  <w:style w:type="paragraph" w:customStyle="1" w:styleId="6">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7">
    <w:name w:val="index 4"/>
    <w:basedOn w:val="1"/>
    <w:next w:val="1"/>
    <w:qFormat/>
    <w:uiPriority w:val="0"/>
    <w:pPr>
      <w:ind w:left="600" w:leftChars="600"/>
    </w:pPr>
  </w:style>
  <w:style w:type="paragraph" w:styleId="8">
    <w:name w:val="Balloon Text"/>
    <w:basedOn w:val="1"/>
    <w:link w:val="24"/>
    <w:qFormat/>
    <w:uiPriority w:val="0"/>
    <w:rPr>
      <w:sz w:val="18"/>
      <w:szCs w:val="18"/>
    </w:rPr>
  </w:style>
  <w:style w:type="paragraph" w:styleId="9">
    <w:name w:val="footer"/>
    <w:basedOn w:val="1"/>
    <w:link w:val="23"/>
    <w:qFormat/>
    <w:uiPriority w:val="0"/>
    <w:pPr>
      <w:tabs>
        <w:tab w:val="center" w:pos="4153"/>
        <w:tab w:val="right" w:pos="8306"/>
      </w:tabs>
    </w:pPr>
    <w:rPr>
      <w:sz w:val="18"/>
      <w:szCs w:val="18"/>
    </w:rPr>
  </w:style>
  <w:style w:type="paragraph" w:styleId="10">
    <w:name w:val="envelope return"/>
    <w:basedOn w:val="1"/>
    <w:qFormat/>
    <w:uiPriority w:val="0"/>
  </w:style>
  <w:style w:type="paragraph" w:styleId="11">
    <w:name w:val="header"/>
    <w:basedOn w:val="1"/>
    <w:link w:val="22"/>
    <w:qFormat/>
    <w:uiPriority w:val="0"/>
    <w:pPr>
      <w:pBdr>
        <w:bottom w:val="single" w:color="auto" w:sz="6" w:space="1"/>
      </w:pBdr>
      <w:tabs>
        <w:tab w:val="center" w:pos="4153"/>
        <w:tab w:val="right" w:pos="8306"/>
      </w:tabs>
      <w:jc w:val="center"/>
    </w:pPr>
    <w:rPr>
      <w:sz w:val="18"/>
      <w:szCs w:val="18"/>
    </w:rPr>
  </w:style>
  <w:style w:type="paragraph" w:styleId="12">
    <w:name w:val="Normal (Web)"/>
    <w:basedOn w:val="1"/>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lang w:eastAsia="zh-C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00FF"/>
      <w:u w:val="single"/>
    </w:rPr>
  </w:style>
  <w:style w:type="character" w:customStyle="1" w:styleId="17">
    <w:name w:val="标题 1 字符"/>
    <w:basedOn w:val="15"/>
    <w:link w:val="4"/>
    <w:qFormat/>
    <w:uiPriority w:val="9"/>
    <w:rPr>
      <w:rFonts w:ascii="宋体" w:hAnsi="宋体" w:eastAsia="宋体" w:cs="宋体"/>
      <w:b/>
      <w:bCs/>
      <w:kern w:val="36"/>
      <w:sz w:val="48"/>
      <w:szCs w:val="48"/>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宋体" w:hAnsi="宋体" w:eastAsia="宋体" w:cs="宋体"/>
      <w:sz w:val="32"/>
      <w:szCs w:val="32"/>
    </w:rPr>
  </w:style>
  <w:style w:type="paragraph" w:styleId="20">
    <w:name w:val="List Paragraph"/>
    <w:basedOn w:val="1"/>
    <w:qFormat/>
    <w:uiPriority w:val="99"/>
    <w:pPr>
      <w:spacing w:line="360" w:lineRule="auto"/>
      <w:ind w:firstLine="420" w:firstLineChars="200"/>
    </w:pPr>
    <w:rPr>
      <w:rFonts w:ascii="Times New Roman" w:hAnsi="Times New Roman" w:eastAsia="宋体" w:cs="Times New Roman"/>
      <w:sz w:val="24"/>
      <w:szCs w:val="24"/>
    </w:rPr>
  </w:style>
  <w:style w:type="character" w:customStyle="1" w:styleId="21">
    <w:name w:val="正文文本 字符"/>
    <w:basedOn w:val="15"/>
    <w:link w:val="5"/>
    <w:semiHidden/>
    <w:qFormat/>
    <w:uiPriority w:val="0"/>
    <w:rPr>
      <w:rFonts w:ascii="宋体" w:hAnsi="宋体" w:eastAsia="宋体" w:cs="宋体"/>
      <w:snapToGrid w:val="0"/>
      <w:color w:val="000000"/>
      <w:sz w:val="31"/>
      <w:szCs w:val="31"/>
      <w:lang w:eastAsia="en-US"/>
    </w:rPr>
  </w:style>
  <w:style w:type="character" w:customStyle="1" w:styleId="22">
    <w:name w:val="页眉 字符"/>
    <w:basedOn w:val="15"/>
    <w:link w:val="11"/>
    <w:qFormat/>
    <w:uiPriority w:val="0"/>
    <w:rPr>
      <w:rFonts w:eastAsia="Arial"/>
      <w:snapToGrid w:val="0"/>
      <w:color w:val="000000"/>
      <w:sz w:val="18"/>
      <w:szCs w:val="18"/>
      <w:lang w:eastAsia="en-US"/>
    </w:rPr>
  </w:style>
  <w:style w:type="character" w:customStyle="1" w:styleId="23">
    <w:name w:val="页脚 字符"/>
    <w:basedOn w:val="15"/>
    <w:link w:val="9"/>
    <w:qFormat/>
    <w:uiPriority w:val="0"/>
    <w:rPr>
      <w:rFonts w:eastAsia="Arial"/>
      <w:snapToGrid w:val="0"/>
      <w:color w:val="000000"/>
      <w:sz w:val="18"/>
      <w:szCs w:val="18"/>
      <w:lang w:eastAsia="en-US"/>
    </w:rPr>
  </w:style>
  <w:style w:type="character" w:customStyle="1" w:styleId="24">
    <w:name w:val="批注框文本 字符"/>
    <w:basedOn w:val="15"/>
    <w:link w:val="8"/>
    <w:qFormat/>
    <w:uiPriority w:val="0"/>
    <w:rPr>
      <w:rFonts w:eastAsia="Arial"/>
      <w:snapToGrid w:val="0"/>
      <w:color w:val="000000"/>
      <w:sz w:val="18"/>
      <w:szCs w:val="18"/>
      <w:lang w:eastAsia="en-US"/>
    </w:rPr>
  </w:style>
  <w:style w:type="paragraph" w:customStyle="1" w:styleId="25">
    <w:name w:val="Revision"/>
    <w:hidden/>
    <w:semiHidden/>
    <w:qFormat/>
    <w:uiPriority w:val="99"/>
    <w:rPr>
      <w:rFonts w:ascii="Arial" w:hAnsi="Arial" w:eastAsia="Arial" w:cs="Arial"/>
      <w:snapToGrid w:val="0"/>
      <w:color w:val="000000"/>
      <w:sz w:val="21"/>
      <w:szCs w:val="21"/>
      <w:lang w:val="en-US" w:eastAsia="en-US" w:bidi="ar-SA"/>
    </w:rPr>
  </w:style>
  <w:style w:type="paragraph" w:customStyle="1" w:styleId="26">
    <w:name w:val="Z设正文"/>
    <w:basedOn w:val="1"/>
    <w:autoRedefine/>
    <w:qFormat/>
    <w:uiPriority w:val="0"/>
    <w:pPr>
      <w:widowControl/>
      <w:jc w:val="left"/>
    </w:pPr>
    <w:rPr>
      <w:rFonts w:ascii="仿宋_GB2312" w:eastAsia="仿宋_GB2312"/>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1679</Words>
  <Characters>1707</Characters>
  <Lines>75</Lines>
  <Paragraphs>21</Paragraphs>
  <TotalTime>3</TotalTime>
  <ScaleCrop>false</ScaleCrop>
  <LinksUpToDate>false</LinksUpToDate>
  <CharactersWithSpaces>1708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2025-03-10T03:32:00Z</dcterms:created>
  <dc:creator>Kingsoft-PDF</dc:creator>
  <cp:lastModifiedBy>施吉利</cp:lastModifiedBy>
  <dcterms:modified xsi:type="dcterms:W3CDTF">2025-07-30T07:56:45Z</dcterms:modified>
  <dc:subject>pdfbuilder</dc:subject>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2025-02-15T09:32:55Z</vt:filetime>
  </property>
  <property fmtid="{D5CDD505-2E9C-101B-9397-08002B2CF9AE}" pid="4" name="UsrData">
    <vt:lpwstr>67afeec40959d0001f4ae1c8wl</vt:lpwstr>
  </property>
  <property fmtid="{D5CDD505-2E9C-101B-9397-08002B2CF9AE}" pid="5" name="KSOTemplateDocerSaveRecord">
    <vt:lpwstr>eyJoZGlkIjoiNzk0ZTk0MjFlZTQ0YWFhNmNhNjViMjQ0ZmE4NGIwOGMiLCJ1c2VySWQiOiIxNDU4NzEzMTYxIn0=</vt:lpwstr>
  </property>
  <property fmtid="{D5CDD505-2E9C-101B-9397-08002B2CF9AE}" pid="6" name="KSOProductBuildVer">
    <vt:lpwstr>2052-12.1.0.21915</vt:lpwstr>
  </property>
  <property fmtid="{D5CDD505-2E9C-101B-9397-08002B2CF9AE}" pid="7" name="ICV">
    <vt:lpwstr>19203E0CF6E949809F0627A64395F6C3_13</vt:lpwstr>
  </property>
</Properties>
</file>