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88BEF">
      <w:pPr>
        <w:jc w:val="center"/>
        <w:rPr>
          <w:rFonts w:hint="eastAsia" w:ascii="宋体" w:hAnsi="宋体"/>
          <w:b/>
          <w:sz w:val="44"/>
          <w:szCs w:val="44"/>
          <w:lang w:val="zh-CN"/>
        </w:rPr>
      </w:pPr>
    </w:p>
    <w:p w14:paraId="5B1D48A4">
      <w:pPr>
        <w:jc w:val="center"/>
        <w:rPr>
          <w:rFonts w:hint="eastAsia" w:ascii="宋体" w:hAnsi="宋体"/>
          <w:b/>
          <w:sz w:val="44"/>
          <w:szCs w:val="44"/>
          <w:lang w:val="zh-CN"/>
        </w:rPr>
      </w:pPr>
    </w:p>
    <w:p w14:paraId="35F5495B">
      <w:pPr>
        <w:jc w:val="center"/>
        <w:rPr>
          <w:rFonts w:hint="eastAsia" w:ascii="宋体" w:hAnsi="宋体"/>
          <w:b/>
          <w:sz w:val="44"/>
          <w:szCs w:val="44"/>
          <w:lang w:val="zh-CN"/>
        </w:rPr>
      </w:pPr>
    </w:p>
    <w:p w14:paraId="0DDFD601">
      <w:pPr>
        <w:jc w:val="center"/>
        <w:rPr>
          <w:rFonts w:hint="eastAsia" w:ascii="宋体" w:hAnsi="宋体"/>
          <w:b/>
          <w:sz w:val="44"/>
          <w:szCs w:val="44"/>
          <w:lang w:val="zh-CN"/>
        </w:rPr>
      </w:pPr>
    </w:p>
    <w:p w14:paraId="7E82F175">
      <w:pPr>
        <w:jc w:val="center"/>
        <w:rPr>
          <w:rFonts w:hint="eastAsia" w:ascii="宋体" w:hAnsi="宋体"/>
          <w:b/>
          <w:sz w:val="44"/>
          <w:szCs w:val="44"/>
          <w:lang w:val="zh-CN"/>
        </w:rPr>
      </w:pPr>
    </w:p>
    <w:p w14:paraId="42920138">
      <w:pPr>
        <w:jc w:val="center"/>
        <w:rPr>
          <w:rFonts w:hint="eastAsia" w:ascii="宋体" w:hAnsi="宋体"/>
          <w:b/>
          <w:sz w:val="44"/>
          <w:szCs w:val="44"/>
          <w:lang w:val="zh-CN"/>
        </w:rPr>
      </w:pPr>
    </w:p>
    <w:p w14:paraId="26F70F16">
      <w:pPr>
        <w:jc w:val="center"/>
        <w:rPr>
          <w:rFonts w:hint="eastAsia" w:ascii="宋体" w:hAnsi="宋体"/>
          <w:b/>
          <w:sz w:val="44"/>
          <w:szCs w:val="44"/>
          <w:lang w:val="zh-CN"/>
        </w:rPr>
      </w:pPr>
    </w:p>
    <w:p w14:paraId="4CF7FF92">
      <w:pPr>
        <w:jc w:val="center"/>
        <w:rPr>
          <w:rFonts w:hint="eastAsia" w:ascii="宋体" w:hAnsi="宋体"/>
          <w:b/>
          <w:sz w:val="44"/>
          <w:szCs w:val="44"/>
          <w:lang w:val="zh-CN"/>
        </w:rPr>
      </w:pPr>
    </w:p>
    <w:p w14:paraId="7B97EDFF">
      <w:pPr>
        <w:jc w:val="center"/>
        <w:rPr>
          <w:rFonts w:hint="eastAsia" w:ascii="宋体" w:hAnsi="宋体"/>
          <w:b/>
          <w:sz w:val="44"/>
          <w:szCs w:val="44"/>
          <w:lang w:val="zh-CN"/>
        </w:rPr>
      </w:pPr>
    </w:p>
    <w:p w14:paraId="3C5EEEE9">
      <w:pPr>
        <w:jc w:val="center"/>
        <w:rPr>
          <w:rFonts w:hint="eastAsia" w:ascii="宋体" w:hAnsi="宋体"/>
          <w:b/>
          <w:sz w:val="44"/>
          <w:szCs w:val="44"/>
          <w:lang w:val="zh-CN"/>
        </w:rPr>
      </w:pPr>
    </w:p>
    <w:p w14:paraId="1D62417F">
      <w:pPr>
        <w:jc w:val="center"/>
        <w:rPr>
          <w:rFonts w:hint="eastAsia" w:ascii="宋体" w:hAnsi="宋体"/>
          <w:b/>
          <w:sz w:val="44"/>
          <w:szCs w:val="44"/>
          <w:lang w:val="zh-CN"/>
        </w:rPr>
      </w:pPr>
      <w:r>
        <w:rPr>
          <w:rFonts w:hint="eastAsia" w:ascii="宋体" w:hAnsi="宋体"/>
          <w:b/>
          <w:sz w:val="44"/>
          <w:szCs w:val="44"/>
          <w:lang w:val="zh-CN"/>
        </w:rPr>
        <w:t>江苏省第二中医院</w:t>
      </w:r>
      <w:r>
        <w:rPr>
          <w:rFonts w:hint="eastAsia" w:ascii="宋体" w:hAnsi="宋体"/>
          <w:b/>
          <w:sz w:val="44"/>
          <w:szCs w:val="44"/>
          <w:lang w:val="en-US" w:eastAsia="zh-CN"/>
        </w:rPr>
        <w:t>数据中心网络</w:t>
      </w:r>
      <w:bookmarkStart w:id="2" w:name="_GoBack"/>
      <w:bookmarkEnd w:id="2"/>
      <w:r>
        <w:rPr>
          <w:rFonts w:hint="eastAsia" w:ascii="宋体" w:hAnsi="宋体"/>
          <w:b/>
          <w:sz w:val="44"/>
          <w:szCs w:val="44"/>
          <w:lang w:val="en-US" w:eastAsia="zh-CN"/>
        </w:rPr>
        <w:t>安全</w:t>
      </w:r>
      <w:r>
        <w:rPr>
          <w:rFonts w:hint="eastAsia" w:ascii="宋体" w:hAnsi="宋体"/>
          <w:b/>
          <w:sz w:val="44"/>
          <w:szCs w:val="44"/>
          <w:lang w:val="zh-CN"/>
        </w:rPr>
        <w:t>项目</w:t>
      </w:r>
    </w:p>
    <w:p w14:paraId="5518ED7D">
      <w:pPr>
        <w:jc w:val="center"/>
        <w:rPr>
          <w:rFonts w:ascii="宋体" w:hAnsi="宋体"/>
          <w:color w:val="000000"/>
          <w:sz w:val="44"/>
          <w:szCs w:val="44"/>
          <w:lang w:val="zh-CN"/>
        </w:rPr>
      </w:pPr>
      <w:r>
        <w:rPr>
          <w:rFonts w:hint="eastAsia" w:ascii="宋体" w:hAnsi="宋体"/>
          <w:b/>
          <w:sz w:val="44"/>
          <w:szCs w:val="44"/>
          <w:lang w:val="zh-CN"/>
        </w:rPr>
        <w:t>调研内容</w:t>
      </w:r>
    </w:p>
    <w:p w14:paraId="2A9FB8B9">
      <w:pPr>
        <w:autoSpaceDE w:val="0"/>
        <w:autoSpaceDN w:val="0"/>
        <w:adjustRightInd w:val="0"/>
        <w:jc w:val="left"/>
        <w:rPr>
          <w:rFonts w:ascii="宋体" w:hAnsi="宋体"/>
          <w:color w:val="000000"/>
          <w:sz w:val="32"/>
          <w:szCs w:val="32"/>
          <w:lang w:val="zh-CN"/>
        </w:rPr>
      </w:pPr>
    </w:p>
    <w:p w14:paraId="2929355F">
      <w:pPr>
        <w:autoSpaceDE w:val="0"/>
        <w:autoSpaceDN w:val="0"/>
        <w:adjustRightInd w:val="0"/>
        <w:jc w:val="left"/>
        <w:rPr>
          <w:rFonts w:ascii="宋体" w:hAnsi="宋体"/>
          <w:color w:val="000000"/>
          <w:sz w:val="32"/>
          <w:szCs w:val="32"/>
          <w:lang w:val="zh-CN"/>
        </w:rPr>
      </w:pPr>
    </w:p>
    <w:p w14:paraId="7829745E">
      <w:pPr>
        <w:spacing w:line="480" w:lineRule="auto"/>
        <w:rPr>
          <w:rFonts w:ascii="宋体" w:hAnsi="宋体"/>
          <w:sz w:val="32"/>
          <w:szCs w:val="32"/>
        </w:rPr>
      </w:pPr>
    </w:p>
    <w:p w14:paraId="403459B6">
      <w:pPr>
        <w:tabs>
          <w:tab w:val="left" w:pos="4500"/>
        </w:tabs>
        <w:autoSpaceDE w:val="0"/>
        <w:autoSpaceDN w:val="0"/>
        <w:adjustRightInd w:val="0"/>
        <w:jc w:val="center"/>
        <w:rPr>
          <w:rFonts w:ascii="宋体" w:hAnsi="宋体"/>
          <w:color w:val="000000"/>
          <w:sz w:val="44"/>
          <w:szCs w:val="44"/>
          <w:lang w:val="zh-CN"/>
        </w:rPr>
      </w:pPr>
    </w:p>
    <w:p w14:paraId="0E4AD9D4">
      <w:pPr>
        <w:tabs>
          <w:tab w:val="left" w:pos="4500"/>
        </w:tabs>
        <w:autoSpaceDE w:val="0"/>
        <w:autoSpaceDN w:val="0"/>
        <w:adjustRightInd w:val="0"/>
        <w:jc w:val="center"/>
        <w:rPr>
          <w:rFonts w:ascii="宋体" w:hAnsi="宋体"/>
          <w:color w:val="000000"/>
          <w:sz w:val="44"/>
          <w:szCs w:val="44"/>
          <w:lang w:val="zh-CN"/>
        </w:rPr>
      </w:pPr>
    </w:p>
    <w:p w14:paraId="5D2C7204">
      <w:pPr>
        <w:tabs>
          <w:tab w:val="left" w:pos="4500"/>
        </w:tabs>
        <w:autoSpaceDE w:val="0"/>
        <w:autoSpaceDN w:val="0"/>
        <w:adjustRightInd w:val="0"/>
        <w:jc w:val="center"/>
        <w:rPr>
          <w:rFonts w:ascii="宋体" w:hAnsi="宋体"/>
          <w:color w:val="000000"/>
          <w:sz w:val="44"/>
          <w:szCs w:val="44"/>
          <w:lang w:val="zh-CN"/>
        </w:rPr>
      </w:pPr>
    </w:p>
    <w:p w14:paraId="03AD4A99">
      <w:pPr>
        <w:tabs>
          <w:tab w:val="left" w:pos="4500"/>
        </w:tabs>
        <w:autoSpaceDE w:val="0"/>
        <w:autoSpaceDN w:val="0"/>
        <w:adjustRightInd w:val="0"/>
        <w:spacing w:line="480" w:lineRule="auto"/>
        <w:rPr>
          <w:rFonts w:ascii="宋体" w:hAnsi="宋体"/>
          <w:color w:val="000000"/>
          <w:sz w:val="36"/>
          <w:szCs w:val="36"/>
          <w:lang w:val="zh-CN"/>
        </w:rPr>
      </w:pPr>
    </w:p>
    <w:p w14:paraId="1CC68272">
      <w:pPr>
        <w:tabs>
          <w:tab w:val="left" w:pos="4500"/>
        </w:tabs>
        <w:autoSpaceDE w:val="0"/>
        <w:autoSpaceDN w:val="0"/>
        <w:adjustRightInd w:val="0"/>
        <w:spacing w:line="480" w:lineRule="auto"/>
        <w:rPr>
          <w:rFonts w:ascii="宋体" w:hAnsi="宋体"/>
          <w:color w:val="000000"/>
          <w:sz w:val="36"/>
          <w:szCs w:val="36"/>
          <w:lang w:val="zh-CN"/>
        </w:rPr>
      </w:pPr>
    </w:p>
    <w:p w14:paraId="72D53B31">
      <w:pPr>
        <w:tabs>
          <w:tab w:val="left" w:pos="4500"/>
        </w:tabs>
        <w:autoSpaceDE w:val="0"/>
        <w:autoSpaceDN w:val="0"/>
        <w:adjustRightInd w:val="0"/>
        <w:spacing w:line="480" w:lineRule="auto"/>
        <w:rPr>
          <w:rFonts w:ascii="宋体" w:hAnsi="宋体"/>
          <w:color w:val="000000"/>
          <w:sz w:val="36"/>
          <w:szCs w:val="36"/>
          <w:lang w:val="zh-CN"/>
        </w:rPr>
      </w:pPr>
    </w:p>
    <w:p w14:paraId="28BAC1A3">
      <w:pPr>
        <w:tabs>
          <w:tab w:val="left" w:pos="4500"/>
        </w:tabs>
        <w:autoSpaceDE w:val="0"/>
        <w:autoSpaceDN w:val="0"/>
        <w:adjustRightInd w:val="0"/>
        <w:spacing w:line="480" w:lineRule="auto"/>
        <w:rPr>
          <w:rFonts w:ascii="宋体" w:hAnsi="宋体"/>
          <w:color w:val="000000"/>
          <w:sz w:val="36"/>
          <w:szCs w:val="36"/>
          <w:lang w:val="zh-CN"/>
        </w:rPr>
      </w:pPr>
    </w:p>
    <w:p w14:paraId="438E31A4">
      <w:pPr>
        <w:pStyle w:val="3"/>
        <w:spacing w:before="0" w:after="0" w:line="560" w:lineRule="exact"/>
        <w:ind w:firstLine="2650" w:firstLineChars="600"/>
        <w:rPr>
          <w:rFonts w:ascii="宋体" w:hAnsi="宋体"/>
        </w:rPr>
      </w:pPr>
      <w:bookmarkStart w:id="0" w:name="_Toc465785684"/>
      <w:r>
        <w:rPr>
          <w:rFonts w:ascii="宋体" w:hAnsi="宋体"/>
          <w:lang w:val="zh-CN"/>
        </w:rPr>
        <w:br w:type="page"/>
      </w:r>
      <w:bookmarkEnd w:id="0"/>
    </w:p>
    <w:p w14:paraId="73E0DCE8">
      <w:pPr>
        <w:spacing w:line="560" w:lineRule="exact"/>
        <w:rPr>
          <w:rFonts w:ascii="宋体" w:hAnsi="宋体" w:cs="仿宋_GB2312"/>
          <w:b/>
          <w:bCs/>
          <w:color w:val="000000"/>
          <w:sz w:val="28"/>
          <w:szCs w:val="28"/>
        </w:rPr>
      </w:pPr>
      <w:bookmarkStart w:id="1" w:name="_Toc465785687"/>
      <w:r>
        <w:rPr>
          <w:rFonts w:hint="eastAsia" w:ascii="宋体" w:hAnsi="宋体" w:cs="仿宋_GB2312"/>
          <w:b/>
          <w:bCs/>
          <w:color w:val="000000"/>
          <w:sz w:val="28"/>
          <w:szCs w:val="28"/>
        </w:rPr>
        <w:t>一、产品清单</w:t>
      </w:r>
    </w:p>
    <w:p w14:paraId="40624163">
      <w:pPr>
        <w:pStyle w:val="7"/>
        <w:tabs>
          <w:tab w:val="left" w:pos="692"/>
          <w:tab w:val="left" w:pos="872"/>
          <w:tab w:val="left" w:pos="1050"/>
        </w:tabs>
        <w:autoSpaceDE w:val="0"/>
        <w:autoSpaceDN w:val="0"/>
        <w:adjustRightInd w:val="0"/>
        <w:snapToGrid w:val="0"/>
        <w:spacing w:line="360" w:lineRule="auto"/>
        <w:rPr>
          <w:rFonts w:ascii="宋体" w:hAnsi="宋体"/>
          <w:sz w:val="24"/>
        </w:rPr>
      </w:pPr>
    </w:p>
    <w:tbl>
      <w:tblPr>
        <w:tblStyle w:val="5"/>
        <w:tblW w:w="807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1471"/>
        <w:gridCol w:w="4216"/>
        <w:gridCol w:w="795"/>
        <w:gridCol w:w="746"/>
      </w:tblGrid>
      <w:tr w14:paraId="4E40F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63CFA6AE">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序号</w:t>
            </w:r>
          </w:p>
        </w:tc>
        <w:tc>
          <w:tcPr>
            <w:tcW w:w="1471" w:type="dxa"/>
            <w:vAlign w:val="center"/>
          </w:tcPr>
          <w:p w14:paraId="0D608D1E">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产品</w:t>
            </w:r>
          </w:p>
        </w:tc>
        <w:tc>
          <w:tcPr>
            <w:tcW w:w="4216" w:type="dxa"/>
            <w:vAlign w:val="center"/>
          </w:tcPr>
          <w:p w14:paraId="04640222">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采购要求</w:t>
            </w:r>
          </w:p>
        </w:tc>
        <w:tc>
          <w:tcPr>
            <w:tcW w:w="795" w:type="dxa"/>
            <w:vAlign w:val="center"/>
          </w:tcPr>
          <w:p w14:paraId="3F4FF222">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数量</w:t>
            </w:r>
          </w:p>
        </w:tc>
        <w:tc>
          <w:tcPr>
            <w:tcW w:w="746" w:type="dxa"/>
            <w:vAlign w:val="center"/>
          </w:tcPr>
          <w:p w14:paraId="78A276C9">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单位</w:t>
            </w:r>
          </w:p>
        </w:tc>
      </w:tr>
      <w:tr w14:paraId="7B9CD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04A90098">
            <w:pPr>
              <w:jc w:val="center"/>
              <w:rPr>
                <w:rFonts w:hint="eastAsia" w:ascii="宋体" w:hAnsi="宋体" w:eastAsia="宋体" w:cs="仿宋"/>
                <w:color w:val="000000" w:themeColor="text1"/>
                <w:sz w:val="24"/>
                <w:lang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1</w:t>
            </w:r>
          </w:p>
        </w:tc>
        <w:tc>
          <w:tcPr>
            <w:tcW w:w="1471" w:type="dxa"/>
            <w:vAlign w:val="center"/>
          </w:tcPr>
          <w:p w14:paraId="34419C23">
            <w:pPr>
              <w:jc w:val="center"/>
              <w:rPr>
                <w:rFonts w:hint="default" w:ascii="宋体" w:hAnsi="宋体" w:eastAsia="宋体" w:cs="仿宋"/>
                <w:color w:val="000000" w:themeColor="text1"/>
                <w:sz w:val="24"/>
                <w:lang w:val="en-US" w:eastAsia="zh-CN"/>
                <w14:textFill>
                  <w14:solidFill>
                    <w14:schemeClr w14:val="tx1"/>
                  </w14:solidFill>
                </w14:textFill>
              </w:rPr>
            </w:pPr>
            <w:r>
              <w:rPr>
                <w:rFonts w:hint="default" w:ascii="宋体" w:hAnsi="宋体" w:cs="仿宋"/>
                <w:color w:val="000000" w:themeColor="text1"/>
                <w:sz w:val="24"/>
                <w:lang w:val="en-US"/>
                <w14:textFill>
                  <w14:solidFill>
                    <w14:schemeClr w14:val="tx1"/>
                  </w14:solidFill>
                </w14:textFill>
              </w:rPr>
              <w:t>API</w:t>
            </w:r>
            <w:r>
              <w:rPr>
                <w:rFonts w:hint="eastAsia" w:ascii="宋体" w:hAnsi="宋体" w:cs="仿宋"/>
                <w:color w:val="000000" w:themeColor="text1"/>
                <w:sz w:val="24"/>
                <w:lang w:val="en-US" w:eastAsia="zh-CN"/>
                <w14:textFill>
                  <w14:solidFill>
                    <w14:schemeClr w14:val="tx1"/>
                  </w14:solidFill>
                </w14:textFill>
              </w:rPr>
              <w:t>代理网关</w:t>
            </w:r>
          </w:p>
        </w:tc>
        <w:tc>
          <w:tcPr>
            <w:tcW w:w="4216" w:type="dxa"/>
          </w:tcPr>
          <w:p w14:paraId="7B4D544D">
            <w:pPr>
              <w:jc w:val="left"/>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支持API全生命周期管理、API认证、数据安全、API-BOT防护、流量管控、访问控制、格式检查、签名验签、安全策略、可视化监控、日志管理。</w:t>
            </w:r>
          </w:p>
          <w:p w14:paraId="77160DF7">
            <w:pPr>
              <w:jc w:val="left"/>
              <w:rPr>
                <w:rFonts w:hint="default" w:ascii="宋体" w:hAnsi="宋体" w:eastAsia="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14:textFill>
                  <w14:solidFill>
                    <w14:schemeClr w14:val="tx1"/>
                  </w14:solidFill>
                </w14:textFill>
              </w:rPr>
              <w:t>标准2U机型，国产操作系统，</w:t>
            </w:r>
            <w:r>
              <w:rPr>
                <w:rFonts w:hint="eastAsia" w:ascii="宋体" w:hAnsi="宋体" w:cs="仿宋"/>
                <w:color w:val="000000" w:themeColor="text1"/>
                <w:sz w:val="24"/>
                <w:lang w:val="en-US" w:eastAsia="zh-CN"/>
                <w14:textFill>
                  <w14:solidFill>
                    <w14:schemeClr w14:val="tx1"/>
                  </w14:solidFill>
                </w14:textFill>
              </w:rPr>
              <w:t>国产</w:t>
            </w:r>
            <w:r>
              <w:rPr>
                <w:rFonts w:hint="eastAsia" w:ascii="宋体" w:hAnsi="宋体" w:cs="仿宋"/>
                <w:color w:val="000000" w:themeColor="text1"/>
                <w:sz w:val="24"/>
                <w14:textFill>
                  <w14:solidFill>
                    <w14:schemeClr w14:val="tx1"/>
                  </w14:solidFill>
                </w14:textFill>
              </w:rPr>
              <w:t>芯片</w:t>
            </w:r>
            <w:r>
              <w:rPr>
                <w:rFonts w:hint="eastAsia" w:ascii="宋体" w:hAnsi="宋体" w:cs="仿宋"/>
                <w:color w:val="000000" w:themeColor="text1"/>
                <w:sz w:val="24"/>
                <w:lang w:val="en-US" w:eastAsia="zh-CN"/>
                <w14:textFill>
                  <w14:solidFill>
                    <w14:schemeClr w14:val="tx1"/>
                  </w14:solidFill>
                </w14:textFill>
              </w:rPr>
              <w:t>。</w:t>
            </w:r>
          </w:p>
        </w:tc>
        <w:tc>
          <w:tcPr>
            <w:tcW w:w="795" w:type="dxa"/>
            <w:vAlign w:val="center"/>
          </w:tcPr>
          <w:p w14:paraId="5A4436F0">
            <w:pPr>
              <w:jc w:val="center"/>
              <w:rPr>
                <w:rFonts w:hint="eastAsia" w:ascii="宋体" w:hAnsi="宋体" w:eastAsia="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1</w:t>
            </w:r>
          </w:p>
        </w:tc>
        <w:tc>
          <w:tcPr>
            <w:tcW w:w="746" w:type="dxa"/>
            <w:vAlign w:val="center"/>
          </w:tcPr>
          <w:p w14:paraId="779C64A7">
            <w:pPr>
              <w:jc w:val="center"/>
              <w:rPr>
                <w:rFonts w:hint="default" w:ascii="宋体" w:hAnsi="宋体" w:eastAsia="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套</w:t>
            </w:r>
          </w:p>
        </w:tc>
      </w:tr>
      <w:tr w14:paraId="43FEC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61CD8090">
            <w:pPr>
              <w:jc w:val="center"/>
              <w:rPr>
                <w:rFonts w:hint="default" w:ascii="宋体" w:hAnsi="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2</w:t>
            </w:r>
          </w:p>
        </w:tc>
        <w:tc>
          <w:tcPr>
            <w:tcW w:w="1471" w:type="dxa"/>
            <w:vAlign w:val="center"/>
          </w:tcPr>
          <w:p w14:paraId="2676A5BC">
            <w:pPr>
              <w:jc w:val="center"/>
              <w:rPr>
                <w:rFonts w:hint="default" w:ascii="宋体" w:hAnsi="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数据安全检查工具箱</w:t>
            </w:r>
          </w:p>
        </w:tc>
        <w:tc>
          <w:tcPr>
            <w:tcW w:w="4216" w:type="dxa"/>
          </w:tcPr>
          <w:p w14:paraId="32EBB745">
            <w:pPr>
              <w:jc w:val="both"/>
              <w:rPr>
                <w:rFonts w:hint="eastAsia" w:ascii="宋体" w:hAnsi="宋体" w:cs="仿宋"/>
                <w:color w:val="000000" w:themeColor="text1"/>
                <w:sz w:val="24"/>
                <w:lang w:eastAsia="zh-CN"/>
                <w14:textFill>
                  <w14:solidFill>
                    <w14:schemeClr w14:val="tx1"/>
                  </w14:solidFill>
                </w14:textFill>
              </w:rPr>
            </w:pPr>
            <w:r>
              <w:rPr>
                <w:rFonts w:hint="eastAsia" w:ascii="宋体" w:hAnsi="宋体" w:cs="仿宋"/>
                <w:color w:val="000000" w:themeColor="text1"/>
                <w:sz w:val="24"/>
                <w:lang w:eastAsia="zh-CN"/>
                <w14:textFill>
                  <w14:solidFill>
                    <w14:schemeClr w14:val="tx1"/>
                  </w14:solidFill>
                </w14:textFill>
              </w:rPr>
              <w:t>内置资产发现、资产测绘、资产脆弱性检测、资产基线核查、API监测和发现、API资产风险评估、风险修复建议、数据库敏感资产探测、法律法规合规性核查、第三方接口对接等模块。</w:t>
            </w:r>
          </w:p>
          <w:p w14:paraId="5325A3EC">
            <w:pPr>
              <w:jc w:val="left"/>
              <w:rPr>
                <w:rFonts w:hint="default"/>
                <w:lang w:val="en-US" w:eastAsia="zh-CN"/>
              </w:rPr>
            </w:pPr>
            <w:r>
              <w:rPr>
                <w:rFonts w:hint="eastAsia" w:ascii="宋体" w:hAnsi="宋体" w:cs="仿宋"/>
                <w:color w:val="000000" w:themeColor="text1"/>
                <w:sz w:val="24"/>
                <w:lang w:eastAsia="zh-CN"/>
                <w14:textFill>
                  <w14:solidFill>
                    <w14:schemeClr w14:val="tx1"/>
                  </w14:solidFill>
                </w14:textFill>
              </w:rPr>
              <w:t>标准2U机架式设备；国产操作系统，</w:t>
            </w:r>
            <w:r>
              <w:rPr>
                <w:rFonts w:hint="eastAsia" w:ascii="宋体" w:hAnsi="宋体" w:cs="仿宋"/>
                <w:color w:val="000000" w:themeColor="text1"/>
                <w:sz w:val="24"/>
                <w:lang w:val="en-US" w:eastAsia="zh-CN"/>
                <w14:textFill>
                  <w14:solidFill>
                    <w14:schemeClr w14:val="tx1"/>
                  </w14:solidFill>
                </w14:textFill>
              </w:rPr>
              <w:t>国产高性能芯片。</w:t>
            </w:r>
          </w:p>
        </w:tc>
        <w:tc>
          <w:tcPr>
            <w:tcW w:w="795" w:type="dxa"/>
            <w:vAlign w:val="center"/>
          </w:tcPr>
          <w:p w14:paraId="33968F98">
            <w:pPr>
              <w:jc w:val="center"/>
              <w:rPr>
                <w:rFonts w:hint="default" w:ascii="宋体" w:hAnsi="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1</w:t>
            </w:r>
          </w:p>
        </w:tc>
        <w:tc>
          <w:tcPr>
            <w:tcW w:w="746" w:type="dxa"/>
            <w:vAlign w:val="center"/>
          </w:tcPr>
          <w:p w14:paraId="2A78EE5A">
            <w:pPr>
              <w:jc w:val="center"/>
              <w:rPr>
                <w:rFonts w:hint="default" w:ascii="宋体" w:hAnsi="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套</w:t>
            </w:r>
          </w:p>
        </w:tc>
      </w:tr>
      <w:tr w14:paraId="140FF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6D82C892">
            <w:pPr>
              <w:jc w:val="center"/>
              <w:rPr>
                <w:rFonts w:hint="default" w:ascii="宋体" w:hAnsi="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5</w:t>
            </w:r>
          </w:p>
        </w:tc>
        <w:tc>
          <w:tcPr>
            <w:tcW w:w="1471" w:type="dxa"/>
            <w:vAlign w:val="center"/>
          </w:tcPr>
          <w:p w14:paraId="631DC675">
            <w:pPr>
              <w:jc w:val="center"/>
              <w:rPr>
                <w:rFonts w:hint="default" w:ascii="宋体" w:hAnsi="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数据安全风险评估服务</w:t>
            </w:r>
          </w:p>
        </w:tc>
        <w:tc>
          <w:tcPr>
            <w:tcW w:w="4216" w:type="dxa"/>
          </w:tcPr>
          <w:p w14:paraId="2894BFDA">
            <w:pPr>
              <w:jc w:val="left"/>
              <w:rPr>
                <w:rFonts w:hint="default"/>
                <w:lang w:val="en-US" w:eastAsia="zh-CN"/>
              </w:rPr>
            </w:pPr>
            <w:r>
              <w:rPr>
                <w:rFonts w:hint="eastAsia" w:ascii="宋体" w:hAnsi="宋体" w:eastAsia="宋体" w:cs="仿宋"/>
                <w:color w:val="000000" w:themeColor="text1"/>
                <w:sz w:val="24"/>
                <w:lang w:val="en-US" w:eastAsia="zh-CN"/>
                <w14:textFill>
                  <w14:solidFill>
                    <w14:schemeClr w14:val="tx1"/>
                  </w14:solidFill>
                </w14:textFill>
              </w:rPr>
              <w:t>数据资产梳理、敏感数据发现、数据库漏洞扫描、数据库配置缺陷扫描、数据库弱口令扫描、法规核查、</w:t>
            </w:r>
            <w:r>
              <w:rPr>
                <w:rFonts w:hint="default" w:ascii="宋体" w:hAnsi="宋体" w:eastAsia="宋体" w:cs="仿宋"/>
                <w:color w:val="000000" w:themeColor="text1"/>
                <w:sz w:val="24"/>
                <w:lang w:val="en-US" w:eastAsia="zh-CN"/>
                <w14:textFill>
                  <w14:solidFill>
                    <w14:schemeClr w14:val="tx1"/>
                  </w14:solidFill>
                </w14:textFill>
              </w:rPr>
              <w:t>api</w:t>
            </w:r>
            <w:r>
              <w:rPr>
                <w:rFonts w:hint="eastAsia" w:ascii="宋体" w:hAnsi="宋体" w:eastAsia="宋体" w:cs="仿宋"/>
                <w:color w:val="000000" w:themeColor="text1"/>
                <w:sz w:val="24"/>
                <w:lang w:val="en-US" w:eastAsia="zh-CN"/>
                <w14:textFill>
                  <w14:solidFill>
                    <w14:schemeClr w14:val="tx1"/>
                  </w14:solidFill>
                </w14:textFill>
              </w:rPr>
              <w:t>流量探测、敏感数据访问梳理、数据库账户权限梳理、数据库资产评估。</w:t>
            </w:r>
          </w:p>
        </w:tc>
        <w:tc>
          <w:tcPr>
            <w:tcW w:w="795" w:type="dxa"/>
            <w:vAlign w:val="center"/>
          </w:tcPr>
          <w:p w14:paraId="5D01F1A7">
            <w:pPr>
              <w:jc w:val="center"/>
              <w:rPr>
                <w:rFonts w:hint="default" w:ascii="宋体" w:hAnsi="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1</w:t>
            </w:r>
          </w:p>
        </w:tc>
        <w:tc>
          <w:tcPr>
            <w:tcW w:w="746" w:type="dxa"/>
            <w:vAlign w:val="center"/>
          </w:tcPr>
          <w:p w14:paraId="0205923A">
            <w:pPr>
              <w:jc w:val="center"/>
              <w:rPr>
                <w:rFonts w:hint="default" w:ascii="宋体" w:hAnsi="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套</w:t>
            </w:r>
          </w:p>
        </w:tc>
      </w:tr>
      <w:tr w14:paraId="3C413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0C578245">
            <w:pPr>
              <w:jc w:val="center"/>
              <w:rPr>
                <w:rFonts w:hint="default" w:ascii="宋体" w:hAnsi="宋体" w:cs="仿宋"/>
                <w:color w:val="000000" w:themeColor="text1"/>
                <w:sz w:val="24"/>
                <w:lang w:val="en-US" w:eastAsia="zh-CN"/>
                <w14:textFill>
                  <w14:solidFill>
                    <w14:schemeClr w14:val="tx1"/>
                  </w14:solidFill>
                </w14:textFill>
              </w:rPr>
            </w:pPr>
          </w:p>
        </w:tc>
        <w:tc>
          <w:tcPr>
            <w:tcW w:w="1471" w:type="dxa"/>
            <w:vAlign w:val="center"/>
          </w:tcPr>
          <w:p w14:paraId="41F2EA15">
            <w:pPr>
              <w:jc w:val="center"/>
              <w:rPr>
                <w:rFonts w:hint="default" w:ascii="宋体" w:hAnsi="宋体" w:cs="仿宋"/>
                <w:color w:val="000000" w:themeColor="text1"/>
                <w:sz w:val="24"/>
                <w:lang w:val="en-US" w:eastAsia="zh-CN"/>
                <w14:textFill>
                  <w14:solidFill>
                    <w14:schemeClr w14:val="tx1"/>
                  </w14:solidFill>
                </w14:textFill>
              </w:rPr>
            </w:pPr>
          </w:p>
        </w:tc>
        <w:tc>
          <w:tcPr>
            <w:tcW w:w="4216" w:type="dxa"/>
          </w:tcPr>
          <w:p w14:paraId="2A68C561">
            <w:pPr>
              <w:jc w:val="left"/>
              <w:rPr>
                <w:rFonts w:hint="default" w:ascii="宋体" w:hAnsi="宋体" w:eastAsia="宋体" w:cs="仿宋"/>
                <w:color w:val="000000" w:themeColor="text1"/>
                <w:sz w:val="24"/>
                <w:lang w:val="en-US" w:eastAsia="zh-CN"/>
                <w14:textFill>
                  <w14:solidFill>
                    <w14:schemeClr w14:val="tx1"/>
                  </w14:solidFill>
                </w14:textFill>
              </w:rPr>
            </w:pPr>
          </w:p>
        </w:tc>
        <w:tc>
          <w:tcPr>
            <w:tcW w:w="795" w:type="dxa"/>
            <w:vAlign w:val="center"/>
          </w:tcPr>
          <w:p w14:paraId="17B7B45F">
            <w:pPr>
              <w:jc w:val="center"/>
              <w:rPr>
                <w:rFonts w:hint="default" w:ascii="宋体" w:hAnsi="宋体" w:cs="仿宋"/>
                <w:color w:val="000000" w:themeColor="text1"/>
                <w:sz w:val="24"/>
                <w:lang w:val="en-US" w:eastAsia="zh-CN"/>
                <w14:textFill>
                  <w14:solidFill>
                    <w14:schemeClr w14:val="tx1"/>
                  </w14:solidFill>
                </w14:textFill>
              </w:rPr>
            </w:pPr>
          </w:p>
        </w:tc>
        <w:tc>
          <w:tcPr>
            <w:tcW w:w="746" w:type="dxa"/>
            <w:vAlign w:val="center"/>
          </w:tcPr>
          <w:p w14:paraId="4439E003">
            <w:pPr>
              <w:jc w:val="center"/>
              <w:rPr>
                <w:rFonts w:hint="default" w:ascii="宋体" w:hAnsi="宋体" w:cs="仿宋"/>
                <w:color w:val="000000" w:themeColor="text1"/>
                <w:sz w:val="24"/>
                <w:lang w:val="en-US" w:eastAsia="zh-CN"/>
                <w14:textFill>
                  <w14:solidFill>
                    <w14:schemeClr w14:val="tx1"/>
                  </w14:solidFill>
                </w14:textFill>
              </w:rPr>
            </w:pPr>
          </w:p>
        </w:tc>
      </w:tr>
    </w:tbl>
    <w:p w14:paraId="1CA34622">
      <w:pPr>
        <w:pStyle w:val="7"/>
        <w:tabs>
          <w:tab w:val="left" w:pos="692"/>
          <w:tab w:val="left" w:pos="872"/>
          <w:tab w:val="left" w:pos="1050"/>
        </w:tabs>
        <w:autoSpaceDE w:val="0"/>
        <w:autoSpaceDN w:val="0"/>
        <w:adjustRightInd w:val="0"/>
        <w:snapToGrid w:val="0"/>
        <w:spacing w:line="360" w:lineRule="auto"/>
        <w:rPr>
          <w:rFonts w:ascii="宋体" w:hAnsi="宋体"/>
          <w:sz w:val="24"/>
        </w:rPr>
      </w:pPr>
    </w:p>
    <w:p w14:paraId="3BEB2A68">
      <w:pPr>
        <w:spacing w:line="360" w:lineRule="auto"/>
        <w:rPr>
          <w:rFonts w:ascii="宋体" w:hAnsi="宋体"/>
          <w:b/>
          <w:bCs/>
          <w:color w:val="000000"/>
          <w:sz w:val="28"/>
          <w:szCs w:val="28"/>
        </w:rPr>
      </w:pPr>
      <w:r>
        <w:rPr>
          <w:rFonts w:hint="eastAsia" w:ascii="宋体" w:hAnsi="宋体"/>
          <w:b/>
          <w:bCs/>
          <w:color w:val="000000"/>
          <w:sz w:val="28"/>
          <w:szCs w:val="28"/>
          <w:lang w:eastAsia="zh-CN"/>
        </w:rPr>
        <w:t>二</w:t>
      </w:r>
      <w:r>
        <w:rPr>
          <w:rFonts w:hint="eastAsia" w:ascii="宋体" w:hAnsi="宋体"/>
          <w:b/>
          <w:bCs/>
          <w:color w:val="000000"/>
          <w:sz w:val="28"/>
          <w:szCs w:val="28"/>
        </w:rPr>
        <w:t>、商务要求：</w:t>
      </w:r>
    </w:p>
    <w:p w14:paraId="5E128B6D">
      <w:pPr>
        <w:spacing w:line="360" w:lineRule="auto"/>
        <w:ind w:firstLine="48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1</w:t>
      </w:r>
      <w:r>
        <w:rPr>
          <w:rFonts w:hint="eastAsia" w:ascii="宋体" w:hAnsi="宋体" w:cs="宋体"/>
          <w:color w:val="000000" w:themeColor="text1"/>
          <w:sz w:val="28"/>
          <w:szCs w:val="28"/>
          <w14:textFill>
            <w14:solidFill>
              <w14:schemeClr w14:val="tx1"/>
            </w14:solidFill>
          </w14:textFill>
        </w:rPr>
        <w:t>、本系统中软硬件技术支持需要投标人在项目验收合格后免费技术支持3年，</w:t>
      </w:r>
      <w:r>
        <w:rPr>
          <w:rFonts w:hint="eastAsia" w:ascii="宋体" w:hAnsi="宋体" w:cs="宋体"/>
          <w:color w:val="000000" w:themeColor="text1"/>
          <w:sz w:val="28"/>
          <w:szCs w:val="28"/>
          <w:lang w:eastAsia="zh-CN"/>
          <w14:textFill>
            <w14:solidFill>
              <w14:schemeClr w14:val="tx1"/>
            </w14:solidFill>
          </w14:textFill>
        </w:rPr>
        <w:t>调研</w:t>
      </w:r>
      <w:r>
        <w:rPr>
          <w:rFonts w:hint="eastAsia" w:ascii="宋体" w:hAnsi="宋体" w:cs="宋体"/>
          <w:color w:val="000000" w:themeColor="text1"/>
          <w:sz w:val="28"/>
          <w:szCs w:val="28"/>
          <w14:textFill>
            <w14:solidFill>
              <w14:schemeClr w14:val="tx1"/>
            </w14:solidFill>
          </w14:textFill>
        </w:rPr>
        <w:t>方应在供应实施当地（市级）设立技术支持和售后服务机构，并有足够的人员来保证技术支持和售后服务。</w:t>
      </w:r>
      <w:r>
        <w:rPr>
          <w:rFonts w:hint="eastAsia" w:ascii="宋体" w:hAnsi="宋体" w:cs="宋体"/>
          <w:color w:val="000000" w:themeColor="text1"/>
          <w:sz w:val="28"/>
          <w:szCs w:val="28"/>
          <w:lang w:eastAsia="zh-CN"/>
          <w14:textFill>
            <w14:solidFill>
              <w14:schemeClr w14:val="tx1"/>
            </w14:solidFill>
          </w14:textFill>
        </w:rPr>
        <w:t>调研</w:t>
      </w:r>
      <w:r>
        <w:rPr>
          <w:rFonts w:hint="eastAsia" w:ascii="宋体" w:hAnsi="宋体" w:cs="宋体"/>
          <w:color w:val="000000" w:themeColor="text1"/>
          <w:sz w:val="28"/>
          <w:szCs w:val="28"/>
          <w14:textFill>
            <w14:solidFill>
              <w14:schemeClr w14:val="tx1"/>
            </w14:solidFill>
          </w14:textFill>
        </w:rPr>
        <w:t>方须提供7*24小时的技术支持和免费的上门维护升级服务。</w:t>
      </w:r>
    </w:p>
    <w:p w14:paraId="7BCBCE65">
      <w:pPr>
        <w:spacing w:line="360" w:lineRule="auto"/>
        <w:ind w:firstLine="48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故障级别定义及解决时间要求如下：</w:t>
      </w:r>
    </w:p>
    <w:tbl>
      <w:tblPr>
        <w:tblStyle w:val="4"/>
        <w:tblW w:w="86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9"/>
        <w:gridCol w:w="1396"/>
        <w:gridCol w:w="1559"/>
        <w:gridCol w:w="1418"/>
        <w:gridCol w:w="1294"/>
        <w:gridCol w:w="1257"/>
      </w:tblGrid>
      <w:tr w14:paraId="6E175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38A207AB">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故障级别</w:t>
            </w:r>
          </w:p>
        </w:tc>
        <w:tc>
          <w:tcPr>
            <w:tcW w:w="1396" w:type="dxa"/>
          </w:tcPr>
          <w:p w14:paraId="40D25702">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技术人员到场时间</w:t>
            </w:r>
          </w:p>
        </w:tc>
        <w:tc>
          <w:tcPr>
            <w:tcW w:w="1559" w:type="dxa"/>
          </w:tcPr>
          <w:p w14:paraId="60054D8B">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提出解决方案</w:t>
            </w:r>
          </w:p>
        </w:tc>
        <w:tc>
          <w:tcPr>
            <w:tcW w:w="1418" w:type="dxa"/>
          </w:tcPr>
          <w:p w14:paraId="678628B8">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备件到场时间</w:t>
            </w:r>
          </w:p>
        </w:tc>
        <w:tc>
          <w:tcPr>
            <w:tcW w:w="1294" w:type="dxa"/>
          </w:tcPr>
          <w:p w14:paraId="6BB28A4A">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解决时间</w:t>
            </w:r>
          </w:p>
        </w:tc>
        <w:tc>
          <w:tcPr>
            <w:tcW w:w="1257" w:type="dxa"/>
          </w:tcPr>
          <w:p w14:paraId="7824FBC0">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其他</w:t>
            </w:r>
          </w:p>
        </w:tc>
      </w:tr>
      <w:tr w14:paraId="5AA8A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1699" w:type="dxa"/>
          </w:tcPr>
          <w:p w14:paraId="22EF0622">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Ⅰ级：属于重特大故障</w:t>
            </w:r>
            <w:r>
              <w:rPr>
                <w:rFonts w:hint="eastAsia" w:ascii="宋体" w:hAnsi="宋体" w:cs="宋体"/>
                <w:bCs/>
                <w:color w:val="000000" w:themeColor="text1"/>
                <w:sz w:val="28"/>
                <w:szCs w:val="28"/>
                <w14:textFill>
                  <w14:solidFill>
                    <w14:schemeClr w14:val="tx1"/>
                  </w14:solidFill>
                </w14:textFill>
              </w:rPr>
              <w:t>或系统存在重大安全隐患的情况下</w:t>
            </w:r>
            <w:r>
              <w:rPr>
                <w:rFonts w:hint="eastAsia" w:ascii="宋体" w:hAnsi="宋体" w:cs="宋体"/>
                <w:color w:val="000000" w:themeColor="text1"/>
                <w:sz w:val="28"/>
                <w:szCs w:val="28"/>
                <w14:textFill>
                  <w14:solidFill>
                    <w14:schemeClr w14:val="tx1"/>
                  </w14:solidFill>
                </w14:textFill>
              </w:rPr>
              <w:t>。</w:t>
            </w:r>
          </w:p>
        </w:tc>
        <w:tc>
          <w:tcPr>
            <w:tcW w:w="1396" w:type="dxa"/>
          </w:tcPr>
          <w:p w14:paraId="072715B1">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接报30分钟以内到现场</w:t>
            </w:r>
          </w:p>
        </w:tc>
        <w:tc>
          <w:tcPr>
            <w:tcW w:w="1559" w:type="dxa"/>
          </w:tcPr>
          <w:p w14:paraId="562A535E">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到现场后1小时内提交故障解决方案</w:t>
            </w:r>
          </w:p>
        </w:tc>
        <w:tc>
          <w:tcPr>
            <w:tcW w:w="1418" w:type="dxa"/>
          </w:tcPr>
          <w:p w14:paraId="1F621666">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提出解决方案后1小时到现场</w:t>
            </w:r>
          </w:p>
        </w:tc>
        <w:tc>
          <w:tcPr>
            <w:tcW w:w="1294" w:type="dxa"/>
          </w:tcPr>
          <w:p w14:paraId="3AA88A11">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接报3小时以内</w:t>
            </w:r>
          </w:p>
        </w:tc>
        <w:tc>
          <w:tcPr>
            <w:tcW w:w="1257" w:type="dxa"/>
            <w:vMerge w:val="restart"/>
          </w:tcPr>
          <w:p w14:paraId="02F92D36">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特殊情况，电话通知或下发《紧急维修通知单》，3小时内必须修复。</w:t>
            </w:r>
          </w:p>
        </w:tc>
      </w:tr>
      <w:tr w14:paraId="42F71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1084E062">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Ⅱ级：属于严重问题：其具体现象为：部分服务器系统发生故障、或小面积瘫痪但不影响系统整体运行。</w:t>
            </w:r>
          </w:p>
        </w:tc>
        <w:tc>
          <w:tcPr>
            <w:tcW w:w="1396" w:type="dxa"/>
          </w:tcPr>
          <w:p w14:paraId="267386DD">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接报30分钟以内到现场</w:t>
            </w:r>
          </w:p>
        </w:tc>
        <w:tc>
          <w:tcPr>
            <w:tcW w:w="1559" w:type="dxa"/>
          </w:tcPr>
          <w:p w14:paraId="22351357">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到现场后1小时内提交故障解决方案</w:t>
            </w:r>
          </w:p>
        </w:tc>
        <w:tc>
          <w:tcPr>
            <w:tcW w:w="1418" w:type="dxa"/>
          </w:tcPr>
          <w:p w14:paraId="3C745C93">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提出解决方案后1小时到现场</w:t>
            </w:r>
          </w:p>
        </w:tc>
        <w:tc>
          <w:tcPr>
            <w:tcW w:w="1294" w:type="dxa"/>
          </w:tcPr>
          <w:p w14:paraId="4FB0B7DF">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接报6小时以内</w:t>
            </w:r>
          </w:p>
        </w:tc>
        <w:tc>
          <w:tcPr>
            <w:tcW w:w="1257" w:type="dxa"/>
            <w:vMerge w:val="continue"/>
          </w:tcPr>
          <w:p w14:paraId="17F82BFB">
            <w:pPr>
              <w:rPr>
                <w:rFonts w:ascii="宋体" w:hAnsi="宋体" w:cs="宋体"/>
                <w:color w:val="000000"/>
                <w:sz w:val="28"/>
                <w:szCs w:val="28"/>
              </w:rPr>
            </w:pPr>
          </w:p>
        </w:tc>
      </w:tr>
      <w:tr w14:paraId="6280B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7599795B">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Ⅲ级：属于普通问题：其具体现象为：服务器、存储硬盘故障，交换机单点故障，服务故障。</w:t>
            </w:r>
          </w:p>
        </w:tc>
        <w:tc>
          <w:tcPr>
            <w:tcW w:w="1396" w:type="dxa"/>
          </w:tcPr>
          <w:p w14:paraId="6A5FF385">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接报2小时内到现场</w:t>
            </w:r>
          </w:p>
        </w:tc>
        <w:tc>
          <w:tcPr>
            <w:tcW w:w="1559" w:type="dxa"/>
          </w:tcPr>
          <w:p w14:paraId="72821BD2">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即时提交或到现场后1小时内提交解决方案</w:t>
            </w:r>
          </w:p>
        </w:tc>
        <w:tc>
          <w:tcPr>
            <w:tcW w:w="1418" w:type="dxa"/>
          </w:tcPr>
          <w:p w14:paraId="0BC4E8B8">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视情况而定</w:t>
            </w:r>
          </w:p>
        </w:tc>
        <w:tc>
          <w:tcPr>
            <w:tcW w:w="1294" w:type="dxa"/>
          </w:tcPr>
          <w:p w14:paraId="4D8726BF">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接报12小时以内</w:t>
            </w:r>
          </w:p>
        </w:tc>
        <w:tc>
          <w:tcPr>
            <w:tcW w:w="1257" w:type="dxa"/>
            <w:vMerge w:val="continue"/>
          </w:tcPr>
          <w:p w14:paraId="0B78175B">
            <w:pPr>
              <w:rPr>
                <w:rFonts w:ascii="宋体" w:hAnsi="宋体" w:cs="宋体"/>
                <w:color w:val="000000"/>
                <w:sz w:val="28"/>
                <w:szCs w:val="28"/>
              </w:rPr>
            </w:pPr>
          </w:p>
        </w:tc>
      </w:tr>
    </w:tbl>
    <w:p w14:paraId="68DD7925">
      <w:pPr>
        <w:spacing w:line="560" w:lineRule="exact"/>
        <w:ind w:firstLine="560" w:firstLineChars="200"/>
        <w:rPr>
          <w:rFonts w:ascii="宋体" w:hAnsi="宋体"/>
          <w:color w:val="000000"/>
          <w:sz w:val="28"/>
          <w:szCs w:val="28"/>
        </w:rPr>
      </w:pPr>
      <w:r>
        <w:rPr>
          <w:rFonts w:hint="eastAsia" w:ascii="宋体" w:hAnsi="宋体" w:cs="宋体"/>
          <w:color w:val="000000" w:themeColor="text1"/>
          <w:sz w:val="28"/>
          <w:szCs w:val="28"/>
          <w:lang w:val="en-US" w:eastAsia="zh-CN"/>
          <w14:textFill>
            <w14:solidFill>
              <w14:schemeClr w14:val="tx1"/>
            </w14:solidFill>
          </w14:textFill>
        </w:rPr>
        <w:t>2</w:t>
      </w:r>
      <w:r>
        <w:rPr>
          <w:rFonts w:hint="eastAsia" w:ascii="宋体" w:hAnsi="宋体" w:cs="宋体"/>
          <w:color w:val="000000" w:themeColor="text1"/>
          <w:sz w:val="28"/>
          <w:szCs w:val="28"/>
          <w14:textFill>
            <w14:solidFill>
              <w14:schemeClr w14:val="tx1"/>
            </w14:solidFill>
          </w14:textFill>
        </w:rPr>
        <w:t>、培训要求：项目实施结束后，在接到采购人培训指令时，应在采购人规定的时间到达培训地点，对采购人相关管理人员进行免费现场培训</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提供不少于 3人/天的培训，采购人经过培训后，应能熟练掌握使用方法，独立完成日常的维护工作，掌握日常运行情况并能及时了解并排除大部分的日常故障。</w:t>
      </w:r>
    </w:p>
    <w:p w14:paraId="2CAA8EEA">
      <w:pPr>
        <w:spacing w:line="560" w:lineRule="exact"/>
        <w:ind w:firstLine="560" w:firstLineChars="200"/>
        <w:rPr>
          <w:rFonts w:ascii="宋体" w:hAnsi="宋体"/>
          <w:color w:val="000000"/>
          <w:sz w:val="28"/>
          <w:szCs w:val="28"/>
        </w:rPr>
      </w:pPr>
      <w:r>
        <w:rPr>
          <w:rFonts w:hint="eastAsia" w:ascii="宋体" w:hAnsi="宋体"/>
          <w:color w:val="000000"/>
          <w:sz w:val="28"/>
          <w:szCs w:val="28"/>
          <w:lang w:val="en-US" w:eastAsia="zh-CN"/>
        </w:rPr>
        <w:t>3</w:t>
      </w:r>
      <w:r>
        <w:rPr>
          <w:rFonts w:hint="eastAsia" w:ascii="宋体" w:hAnsi="宋体"/>
          <w:color w:val="000000"/>
          <w:sz w:val="28"/>
          <w:szCs w:val="28"/>
        </w:rPr>
        <w:t>、</w:t>
      </w:r>
      <w:r>
        <w:rPr>
          <w:rFonts w:hint="eastAsia" w:ascii="宋体" w:hAnsi="宋体" w:cs="宋体"/>
          <w:color w:val="000000" w:themeColor="text1"/>
          <w:sz w:val="28"/>
          <w:szCs w:val="28"/>
          <w:lang w:eastAsia="zh-CN"/>
          <w14:textFill>
            <w14:solidFill>
              <w14:schemeClr w14:val="tx1"/>
            </w14:solidFill>
          </w14:textFill>
        </w:rPr>
        <w:t>调研</w:t>
      </w:r>
      <w:r>
        <w:rPr>
          <w:rFonts w:hint="eastAsia" w:ascii="宋体" w:hAnsi="宋体" w:cs="宋体"/>
          <w:color w:val="000000" w:themeColor="text1"/>
          <w:sz w:val="28"/>
          <w:szCs w:val="28"/>
          <w14:textFill>
            <w14:solidFill>
              <w14:schemeClr w14:val="tx1"/>
            </w14:solidFill>
          </w14:textFill>
        </w:rPr>
        <w:t>方</w:t>
      </w:r>
      <w:r>
        <w:rPr>
          <w:rFonts w:hint="eastAsia" w:ascii="宋体" w:hAnsi="宋体"/>
          <w:color w:val="000000"/>
          <w:sz w:val="28"/>
          <w:szCs w:val="28"/>
        </w:rPr>
        <w:t>必须是生产厂家或取得厂家授权的代理商，</w:t>
      </w:r>
      <w:r>
        <w:rPr>
          <w:rFonts w:hint="eastAsia" w:ascii="宋体" w:hAnsi="宋体"/>
          <w:color w:val="000000"/>
          <w:sz w:val="28"/>
          <w:szCs w:val="28"/>
          <w:lang w:eastAsia="zh-CN"/>
        </w:rPr>
        <w:t>调研</w:t>
      </w:r>
      <w:r>
        <w:rPr>
          <w:rFonts w:hint="eastAsia" w:ascii="宋体" w:hAnsi="宋体"/>
          <w:color w:val="000000"/>
          <w:sz w:val="28"/>
          <w:szCs w:val="28"/>
        </w:rPr>
        <w:t>时代理商需提供原厂针对此项目的授权函；</w:t>
      </w:r>
    </w:p>
    <w:p w14:paraId="4D72AF21">
      <w:pPr>
        <w:spacing w:line="560" w:lineRule="exact"/>
        <w:rPr>
          <w:rFonts w:ascii="宋体" w:hAnsi="宋体"/>
          <w:b/>
          <w:bCs/>
          <w:color w:val="000000"/>
          <w:sz w:val="28"/>
          <w:szCs w:val="28"/>
        </w:rPr>
      </w:pPr>
      <w:r>
        <w:rPr>
          <w:rFonts w:hint="eastAsia" w:ascii="宋体" w:hAnsi="宋体"/>
          <w:b/>
          <w:bCs/>
          <w:color w:val="000000"/>
          <w:sz w:val="28"/>
          <w:szCs w:val="28"/>
          <w:lang w:eastAsia="zh-CN"/>
        </w:rPr>
        <w:t>三</w:t>
      </w:r>
      <w:r>
        <w:rPr>
          <w:rFonts w:hint="eastAsia" w:ascii="宋体" w:hAnsi="宋体"/>
          <w:b/>
          <w:bCs/>
          <w:color w:val="000000"/>
          <w:sz w:val="28"/>
          <w:szCs w:val="28"/>
        </w:rPr>
        <w:t>、服务要求</w:t>
      </w:r>
    </w:p>
    <w:p w14:paraId="55538DB9">
      <w:pPr>
        <w:spacing w:line="560" w:lineRule="exact"/>
        <w:ind w:firstLine="560" w:firstLineChars="200"/>
        <w:rPr>
          <w:rFonts w:hint="eastAsia" w:ascii="宋体" w:hAnsi="宋体" w:eastAsia="宋体"/>
          <w:color w:val="000000"/>
          <w:sz w:val="28"/>
          <w:szCs w:val="28"/>
          <w:lang w:eastAsia="zh-CN"/>
        </w:rPr>
      </w:pPr>
      <w:r>
        <w:rPr>
          <w:rFonts w:hint="eastAsia" w:ascii="宋体" w:hAnsi="宋体"/>
          <w:color w:val="000000"/>
          <w:sz w:val="28"/>
          <w:szCs w:val="28"/>
        </w:rPr>
        <w:t>1、质保期：供应商报价时须承诺所供货物的免费质保期为三年（自验收报告签字确认日起，开始进入质保期）</w:t>
      </w:r>
      <w:r>
        <w:rPr>
          <w:rFonts w:hint="eastAsia" w:ascii="宋体" w:hAnsi="宋体"/>
          <w:color w:val="000000"/>
          <w:sz w:val="28"/>
          <w:szCs w:val="28"/>
          <w:lang w:eastAsia="zh-CN"/>
        </w:rPr>
        <w:t>。</w:t>
      </w:r>
    </w:p>
    <w:p w14:paraId="59FF0CD6">
      <w:pPr>
        <w:spacing w:line="560" w:lineRule="exact"/>
        <w:ind w:firstLine="560" w:firstLineChars="200"/>
        <w:rPr>
          <w:rFonts w:ascii="宋体" w:hAnsi="宋体"/>
          <w:color w:val="000000"/>
          <w:sz w:val="28"/>
          <w:szCs w:val="28"/>
        </w:rPr>
      </w:pPr>
      <w:r>
        <w:rPr>
          <w:rFonts w:hint="eastAsia" w:ascii="宋体" w:hAnsi="宋体"/>
          <w:color w:val="000000"/>
          <w:sz w:val="28"/>
          <w:szCs w:val="28"/>
        </w:rPr>
        <w:t>2、服务响应时间：在接到服务请求1个小时内到达现场进行服务及保障。</w:t>
      </w:r>
    </w:p>
    <w:p w14:paraId="4C2F5B82">
      <w:pPr>
        <w:spacing w:line="560" w:lineRule="exact"/>
        <w:rPr>
          <w:rFonts w:ascii="宋体" w:hAnsi="宋体"/>
          <w:b/>
          <w:bCs/>
          <w:color w:val="000000"/>
          <w:sz w:val="28"/>
          <w:szCs w:val="28"/>
        </w:rPr>
      </w:pPr>
      <w:r>
        <w:rPr>
          <w:rFonts w:hint="eastAsia" w:ascii="宋体" w:hAnsi="宋体"/>
          <w:b/>
          <w:bCs/>
          <w:color w:val="000000"/>
          <w:sz w:val="28"/>
          <w:szCs w:val="28"/>
          <w:lang w:eastAsia="zh-CN"/>
        </w:rPr>
        <w:t>四</w:t>
      </w:r>
      <w:r>
        <w:rPr>
          <w:rFonts w:hint="eastAsia" w:ascii="宋体" w:hAnsi="宋体"/>
          <w:b/>
          <w:bCs/>
          <w:color w:val="000000"/>
          <w:sz w:val="28"/>
          <w:szCs w:val="28"/>
        </w:rPr>
        <w:t>、项目实施要求</w:t>
      </w:r>
    </w:p>
    <w:p w14:paraId="0CCFD371">
      <w:pPr>
        <w:spacing w:line="560" w:lineRule="exact"/>
        <w:ind w:firstLine="560" w:firstLineChars="200"/>
        <w:rPr>
          <w:rFonts w:hint="eastAsia" w:ascii="宋体" w:hAnsi="宋体" w:cs="仿宋_GB2312"/>
          <w:color w:val="000000"/>
          <w:sz w:val="28"/>
          <w:szCs w:val="28"/>
          <w:lang w:val="en-US" w:eastAsia="zh-CN"/>
        </w:rPr>
      </w:pPr>
      <w:r>
        <w:rPr>
          <w:rFonts w:hint="eastAsia" w:ascii="宋体" w:hAnsi="宋体" w:cs="仿宋_GB2312"/>
          <w:color w:val="000000"/>
          <w:sz w:val="28"/>
          <w:szCs w:val="28"/>
        </w:rPr>
        <w:t>项目实施时间：签订合同之日起1个月内。</w:t>
      </w:r>
      <w:bookmarkEnd w:id="1"/>
    </w:p>
    <w:p w14:paraId="67E9D7A5">
      <w:pPr>
        <w:spacing w:line="560" w:lineRule="exact"/>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五、现场调研</w:t>
      </w:r>
    </w:p>
    <w:p w14:paraId="4C9FD87F">
      <w:pPr>
        <w:numPr>
          <w:ilvl w:val="0"/>
          <w:numId w:val="0"/>
        </w:numPr>
        <w:rPr>
          <w:rFonts w:hint="default"/>
          <w:lang w:val="en-US" w:eastAsia="zh-CN"/>
        </w:rPr>
      </w:pPr>
    </w:p>
    <w:p w14:paraId="3EA0ACD0">
      <w:pPr>
        <w:spacing w:line="560" w:lineRule="exact"/>
        <w:ind w:firstLine="560" w:firstLineChars="200"/>
        <w:rPr>
          <w:rFonts w:hint="default" w:ascii="宋体" w:hAnsi="宋体" w:cs="仿宋_GB2312"/>
          <w:color w:val="000000"/>
          <w:sz w:val="28"/>
          <w:szCs w:val="28"/>
          <w:lang w:val="en-US" w:eastAsia="zh-CN"/>
        </w:rPr>
      </w:pPr>
      <w:r>
        <w:rPr>
          <w:rFonts w:hint="eastAsia" w:ascii="宋体" w:hAnsi="宋体" w:cs="仿宋_GB2312"/>
          <w:color w:val="000000"/>
          <w:sz w:val="28"/>
          <w:szCs w:val="28"/>
          <w:lang w:val="en-US" w:eastAsia="zh-CN"/>
        </w:rPr>
        <w:t>项目具体情况请查看现场，联系电话：唐工 13222777718。</w:t>
      </w:r>
    </w:p>
    <w:p w14:paraId="1DAA479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B0604020202020204"/>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NTY2ZTUwZDFiNGIwMTQyY2QwNjkxYTlmY2E0NzYifQ=="/>
  </w:docVars>
  <w:rsids>
    <w:rsidRoot w:val="61F8231B"/>
    <w:rsid w:val="01F561CB"/>
    <w:rsid w:val="032F19F4"/>
    <w:rsid w:val="61F8231B"/>
    <w:rsid w:val="674778AF"/>
    <w:rsid w:val="709C2713"/>
    <w:rsid w:val="7FFF9187"/>
    <w:rsid w:val="DFFFC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2">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 New"/>
    <w:qFormat/>
    <w:uiPriority w:val="0"/>
    <w:pPr>
      <w:widowControl w:val="0"/>
      <w:jc w:val="both"/>
    </w:pPr>
    <w:rPr>
      <w:rFonts w:ascii="Times New Roman" w:hAnsi="Times New Roman" w:eastAsia="宋体" w:cs="Times New Roman"/>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1094</Words>
  <Characters>1130</Characters>
  <Lines>0</Lines>
  <Paragraphs>0</Paragraphs>
  <TotalTime>23</TotalTime>
  <ScaleCrop>false</ScaleCrop>
  <LinksUpToDate>false</LinksUpToDate>
  <CharactersWithSpaces>1132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2024-10-24T22:35:00Z</dcterms:created>
  <dc:creator>施吉利</dc:creator>
  <cp:lastModifiedBy>施吉利</cp:lastModifiedBy>
  <dcterms:modified xsi:type="dcterms:W3CDTF">2025-07-30T00:10:17Z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36A05B7310324BF6A184D5C3FE5358E9_13</vt:lpwstr>
  </property>
  <property fmtid="{D5CDD505-2E9C-101B-9397-08002B2CF9AE}" pid="4" name="KSOTemplateDocerSaveRecord">
    <vt:lpwstr>eyJoZGlkIjoiNzk0ZTk0MjFlZTQ0YWFhNmNhNjViMjQ0ZmE4NGIwOGMiLCJ1c2VySWQiOiIxNDU4NzEzMTYxIn0=</vt:lpwstr>
  </property>
</Properties>
</file>