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321F0">
      <w:pPr>
        <w:spacing w:line="960" w:lineRule="auto"/>
        <w:jc w:val="center"/>
        <w:rPr>
          <w:rFonts w:hint="eastAsia" w:ascii="仿宋" w:hAnsi="仿宋" w:eastAsia="仿宋" w:cs="Times New Roman"/>
          <w:b/>
          <w:bCs/>
          <w:sz w:val="36"/>
          <w:szCs w:val="36"/>
          <w:lang w:val="en-US" w:eastAsia="zh-CN"/>
        </w:rPr>
      </w:pPr>
      <w:r>
        <w:rPr>
          <w:rFonts w:hint="eastAsia" w:ascii="仿宋" w:hAnsi="仿宋" w:eastAsia="仿宋" w:cs="Times New Roman"/>
          <w:b/>
          <w:bCs/>
          <w:sz w:val="36"/>
          <w:szCs w:val="36"/>
        </w:rPr>
        <w:t>医美数</w:t>
      </w:r>
      <w:r>
        <w:rPr>
          <w:rFonts w:hint="eastAsia" w:ascii="仿宋" w:hAnsi="仿宋" w:eastAsia="仿宋" w:cs="Times New Roman"/>
          <w:b/>
          <w:bCs/>
          <w:sz w:val="36"/>
          <w:szCs w:val="36"/>
          <w:lang w:val="en-US" w:eastAsia="zh-CN"/>
        </w:rPr>
        <w:t>智化项目建设需求</w:t>
      </w:r>
    </w:p>
    <w:p w14:paraId="4A0A41E2">
      <w:pPr>
        <w:pStyle w:val="7"/>
        <w:adjustRightInd w:val="0"/>
        <w:snapToGrid w:val="0"/>
        <w:spacing w:before="0" w:after="0" w:line="360" w:lineRule="auto"/>
        <w:rPr>
          <w:rFonts w:hint="eastAsia" w:asciiTheme="minorHAnsi" w:hAnsiTheme="minorHAnsi" w:eastAsiaTheme="minorEastAsia" w:cstheme="minorBidi"/>
          <w:b/>
          <w:kern w:val="2"/>
          <w:sz w:val="32"/>
          <w:szCs w:val="20"/>
          <w:lang w:val="en-US" w:eastAsia="zh-CN" w:bidi="ar-SA"/>
        </w:rPr>
      </w:pPr>
      <w:bookmarkStart w:id="0" w:name="_Toc12887271"/>
      <w:r>
        <w:rPr>
          <w:rFonts w:hint="eastAsia" w:asciiTheme="minorHAnsi" w:hAnsiTheme="minorHAnsi" w:eastAsiaTheme="minorEastAsia" w:cstheme="minorBidi"/>
          <w:b/>
          <w:kern w:val="2"/>
          <w:sz w:val="32"/>
          <w:szCs w:val="20"/>
          <w:lang w:val="en-US" w:eastAsia="zh-CN" w:bidi="ar-SA"/>
        </w:rPr>
        <w:t>一、具体技术及服务要求</w:t>
      </w:r>
      <w:bookmarkEnd w:id="0"/>
    </w:p>
    <w:p w14:paraId="3A86B15F">
      <w:pPr>
        <w:rPr>
          <w:rFonts w:ascii="仿宋" w:hAnsi="仿宋" w:eastAsia="仿宋"/>
          <w:sz w:val="28"/>
          <w:szCs w:val="28"/>
        </w:rPr>
      </w:pPr>
      <w:r>
        <w:rPr>
          <w:rFonts w:hint="eastAsia" w:ascii="仿宋" w:hAnsi="仿宋" w:eastAsia="仿宋"/>
          <w:b/>
          <w:sz w:val="28"/>
          <w:szCs w:val="28"/>
        </w:rPr>
        <w:t>1.</w:t>
      </w:r>
      <w:r>
        <w:rPr>
          <w:rFonts w:ascii="仿宋" w:hAnsi="仿宋" w:eastAsia="仿宋" w:cs="Segoe UI"/>
          <w:b/>
          <w:bCs/>
          <w:color w:val="404040"/>
          <w:sz w:val="28"/>
          <w:szCs w:val="28"/>
        </w:rPr>
        <w:t xml:space="preserve"> </w:t>
      </w:r>
      <w:r>
        <w:rPr>
          <w:rFonts w:hint="eastAsia" w:ascii="仿宋" w:hAnsi="仿宋" w:eastAsia="仿宋"/>
          <w:sz w:val="28"/>
          <w:szCs w:val="28"/>
        </w:rPr>
        <w:t>区别于传统的医疗项目，医疗美容项目有着较强的市场竞争性。随着医疗美容项目在科室的开展，求美者对科室的流程、效率、服务提出了更高的要求。为方便科室宣传推广，提升求美者就诊体验感、规范科室服务流程、提升科室效率，需要引进一套成熟的医疗美容数智化科室管理系统协助科室的日常运营。</w:t>
      </w:r>
    </w:p>
    <w:p w14:paraId="76241E15">
      <w:pPr>
        <w:rPr>
          <w:rFonts w:ascii="仿宋" w:hAnsi="仿宋" w:eastAsia="仿宋"/>
          <w:sz w:val="28"/>
          <w:szCs w:val="28"/>
        </w:rPr>
      </w:pPr>
      <w:r>
        <w:rPr>
          <w:rFonts w:hint="eastAsia" w:ascii="仿宋" w:hAnsi="仿宋" w:eastAsia="仿宋"/>
          <w:sz w:val="28"/>
          <w:szCs w:val="28"/>
        </w:rPr>
        <w:t>建设意义：</w:t>
      </w:r>
    </w:p>
    <w:p w14:paraId="62A2FD12">
      <w:pPr>
        <w:rPr>
          <w:rFonts w:hint="eastAsia" w:ascii="仿宋" w:hAnsi="仿宋" w:eastAsia="仿宋"/>
          <w:sz w:val="28"/>
          <w:szCs w:val="28"/>
        </w:rPr>
      </w:pPr>
      <w:r>
        <w:rPr>
          <w:rFonts w:hint="eastAsia" w:ascii="仿宋" w:hAnsi="仿宋" w:eastAsia="仿宋"/>
          <w:sz w:val="28"/>
          <w:szCs w:val="28"/>
        </w:rPr>
        <w:t>（1）通过数智化管理系统，医院可以买现对</w:t>
      </w:r>
      <w:r>
        <w:rPr>
          <w:rFonts w:hint="eastAsia" w:ascii="仿宋" w:hAnsi="仿宋" w:eastAsia="仿宋"/>
          <w:sz w:val="28"/>
          <w:szCs w:val="28"/>
          <w:lang w:eastAsia="zh-CN"/>
        </w:rPr>
        <w:t>医疗</w:t>
      </w:r>
      <w:r>
        <w:rPr>
          <w:rFonts w:hint="eastAsia" w:ascii="仿宋" w:hAnsi="仿宋" w:eastAsia="仿宋"/>
          <w:sz w:val="28"/>
          <w:szCs w:val="28"/>
        </w:rPr>
        <w:t>档案的全面管理，包括患者信息、医疗资源、医疗流程等，这有助于提高管理效率，减少人为错误，优化资源配置。</w:t>
      </w:r>
    </w:p>
    <w:p w14:paraId="21D37588">
      <w:pPr>
        <w:rPr>
          <w:rFonts w:ascii="仿宋" w:hAnsi="仿宋" w:eastAsia="仿宋"/>
          <w:sz w:val="28"/>
          <w:szCs w:val="28"/>
        </w:rPr>
      </w:pPr>
      <w:r>
        <w:rPr>
          <w:rFonts w:hint="eastAsia" w:ascii="仿宋" w:hAnsi="仿宋" w:eastAsia="仿宋"/>
          <w:sz w:val="28"/>
          <w:szCs w:val="28"/>
        </w:rPr>
        <w:t>（2）提升医疗服务质量:数智化管理系统可以提供全面的患者信息管理，方便医生快速了解患者病情，制定更加精准的治疗方案，同时，系统可以对医疗服务质量进行实时监控和评估，及时发现和改进医疗服务中的不足之处。</w:t>
      </w:r>
    </w:p>
    <w:p w14:paraId="48509BA7">
      <w:pPr>
        <w:rPr>
          <w:rFonts w:ascii="仿宋" w:hAnsi="仿宋" w:eastAsia="仿宋"/>
          <w:sz w:val="28"/>
          <w:szCs w:val="28"/>
        </w:rPr>
      </w:pPr>
      <w:r>
        <w:rPr>
          <w:rFonts w:hint="eastAsia" w:ascii="仿宋" w:hAnsi="仿宋" w:eastAsia="仿宋"/>
          <w:sz w:val="28"/>
          <w:szCs w:val="28"/>
        </w:rPr>
        <w:t>（3）促讲数据整合和分析:数智化管理系统可以整合科室的各种数据，包括患者信息、医疗资源使用情况、医疗服务质量等。通过数据分析，医院可以更好地了解科室运营情况，为决策提供科学依据。</w:t>
      </w:r>
    </w:p>
    <w:p w14:paraId="1522E126">
      <w:pPr>
        <w:rPr>
          <w:rFonts w:hint="eastAsia" w:ascii="仿宋" w:hAnsi="仿宋" w:eastAsia="仿宋"/>
          <w:sz w:val="28"/>
          <w:szCs w:val="28"/>
        </w:rPr>
      </w:pPr>
      <w:r>
        <w:rPr>
          <w:rFonts w:hint="eastAsia" w:ascii="仿宋" w:hAnsi="仿宋" w:eastAsia="仿宋"/>
          <w:sz w:val="28"/>
          <w:szCs w:val="28"/>
        </w:rPr>
        <w:t>（4）保障医疗安全:数智化管理系统可以实现医疗信息的实时共亨和更新，确保医生及时了解患者病情和治疗情况</w:t>
      </w:r>
      <w:r>
        <w:rPr>
          <w:rFonts w:hint="eastAsia" w:ascii="仿宋" w:hAnsi="仿宋" w:eastAsia="仿宋"/>
          <w:sz w:val="28"/>
          <w:szCs w:val="28"/>
          <w:lang w:eastAsia="zh-CN"/>
        </w:rPr>
        <w:t>，</w:t>
      </w:r>
      <w:r>
        <w:rPr>
          <w:rFonts w:hint="eastAsia" w:ascii="仿宋" w:hAnsi="仿宋" w:eastAsia="仿宋"/>
          <w:sz w:val="28"/>
          <w:szCs w:val="28"/>
        </w:rPr>
        <w:t>同时，系统可以对医疗操作进行规范和监督减少医疗事故和纠纷的发生。</w:t>
      </w:r>
    </w:p>
    <w:p w14:paraId="2BEF7CE2">
      <w:pPr>
        <w:rPr>
          <w:rFonts w:ascii="仿宋" w:hAnsi="仿宋" w:eastAsia="仿宋"/>
          <w:sz w:val="28"/>
          <w:szCs w:val="28"/>
        </w:rPr>
      </w:pPr>
      <w:r>
        <w:rPr>
          <w:rFonts w:hint="eastAsia" w:ascii="宋体" w:hAnsi="宋体"/>
          <w:b/>
          <w:sz w:val="24"/>
        </w:rPr>
        <w:t>2.</w:t>
      </w:r>
      <w:r>
        <w:rPr>
          <w:rFonts w:hint="eastAsia" w:ascii="仿宋" w:hAnsi="仿宋" w:eastAsia="仿宋"/>
          <w:sz w:val="28"/>
          <w:szCs w:val="28"/>
        </w:rPr>
        <w:t>系统具体功能需求：</w:t>
      </w:r>
    </w:p>
    <w:p w14:paraId="69291456">
      <w:pPr>
        <w:widowControl/>
        <w:rPr>
          <w:rFonts w:ascii="仿宋" w:hAnsi="仿宋" w:eastAsia="仿宋" w:cs="宋体"/>
          <w:sz w:val="28"/>
          <w:szCs w:val="28"/>
        </w:rPr>
      </w:pPr>
      <w:r>
        <w:rPr>
          <w:rFonts w:ascii="仿宋" w:hAnsi="仿宋" w:eastAsia="仿宋"/>
          <w:bCs/>
          <w:sz w:val="28"/>
          <w:szCs w:val="28"/>
        </w:rPr>
        <w:t>1.</w:t>
      </w:r>
      <w:r>
        <w:rPr>
          <w:rFonts w:hint="eastAsia" w:ascii="仿宋" w:hAnsi="仿宋" w:eastAsia="仿宋"/>
          <w:bCs/>
          <w:sz w:val="28"/>
          <w:szCs w:val="28"/>
        </w:rPr>
        <w:t>科室微站：</w:t>
      </w:r>
      <w:r>
        <w:rPr>
          <w:rFonts w:hint="eastAsia" w:ascii="仿宋" w:hAnsi="仿宋" w:eastAsia="仿宋" w:cs="宋体"/>
          <w:sz w:val="28"/>
          <w:szCs w:val="28"/>
        </w:rPr>
        <w:t>建设科室自有的小程序微站，作为科室宣传的统一出口和求美者发生交互的统一入口。求美者能够系统直观的查看科室的医生、开展项目、引进设备、荣誉等。同时科室微站可加载在医院公众号上，统一入口。</w:t>
      </w:r>
    </w:p>
    <w:p w14:paraId="508B7706">
      <w:pPr>
        <w:spacing w:line="276" w:lineRule="auto"/>
        <w:jc w:val="left"/>
        <w:rPr>
          <w:rFonts w:ascii="仿宋" w:hAnsi="仿宋" w:eastAsia="仿宋" w:cs="宋体"/>
          <w:sz w:val="28"/>
          <w:szCs w:val="28"/>
        </w:rPr>
      </w:pPr>
      <w:r>
        <w:rPr>
          <w:rFonts w:ascii="仿宋" w:hAnsi="仿宋" w:eastAsia="仿宋"/>
          <w:bCs/>
          <w:sz w:val="28"/>
          <w:szCs w:val="28"/>
        </w:rPr>
        <w:t>2.</w:t>
      </w:r>
      <w:r>
        <w:rPr>
          <w:rFonts w:hint="eastAsia" w:ascii="仿宋" w:hAnsi="仿宋" w:eastAsia="仿宋"/>
          <w:bCs/>
          <w:sz w:val="28"/>
          <w:szCs w:val="28"/>
        </w:rPr>
        <w:t>电子档案管理系统：</w:t>
      </w:r>
      <w:r>
        <w:rPr>
          <w:rFonts w:hint="eastAsia" w:ascii="仿宋" w:hAnsi="仿宋" w:eastAsia="仿宋" w:cs="宋体"/>
          <w:sz w:val="28"/>
          <w:szCs w:val="28"/>
        </w:rPr>
        <w:t>为科室求美者建立互通的全周期会员档案，包括会员消费项目清单、已购项目情况、权益及分级，术前术后照片、治疗参数等。支持pc、手机、ipad多端互通查看，提升患者满意度。</w:t>
      </w:r>
    </w:p>
    <w:p w14:paraId="6E0B5597">
      <w:pPr>
        <w:spacing w:line="276" w:lineRule="auto"/>
        <w:jc w:val="left"/>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rPr>
        <w:t>数字化全流程工作台：在不增加医生工作量的的前提下，为护士配备工作台，规范科室服务流程，提升患者服务效率</w:t>
      </w:r>
    </w:p>
    <w:p w14:paraId="6EBA0CEF">
      <w:pPr>
        <w:widowControl/>
        <w:rPr>
          <w:rFonts w:ascii="仿宋" w:hAnsi="仿宋" w:eastAsia="仿宋" w:cs="宋体"/>
          <w:sz w:val="28"/>
          <w:szCs w:val="28"/>
        </w:rPr>
      </w:pPr>
      <w:r>
        <w:rPr>
          <w:rFonts w:ascii="仿宋" w:hAnsi="仿宋" w:eastAsia="仿宋"/>
          <w:bCs/>
          <w:sz w:val="28"/>
          <w:szCs w:val="28"/>
        </w:rPr>
        <w:t>4.</w:t>
      </w:r>
      <w:r>
        <w:rPr>
          <w:rFonts w:hint="eastAsia" w:ascii="仿宋" w:hAnsi="仿宋" w:eastAsia="仿宋"/>
          <w:bCs/>
          <w:sz w:val="28"/>
          <w:szCs w:val="28"/>
        </w:rPr>
        <w:t>智能回访：</w:t>
      </w:r>
      <w:r>
        <w:rPr>
          <w:rFonts w:hint="eastAsia" w:ascii="仿宋" w:hAnsi="仿宋" w:eastAsia="仿宋" w:cs="宋体"/>
          <w:sz w:val="28"/>
          <w:szCs w:val="28"/>
        </w:rPr>
        <w:t>支持为已就诊和治疗的求美者进行术后注意事项提醒、定期关怀和复诊提醒。能够根据不同的皮肤美容项目，进行针对性的回访，提升求美者满意度，同时提升其复诊到院率。</w:t>
      </w:r>
    </w:p>
    <w:p w14:paraId="6518DB18">
      <w:pPr>
        <w:spacing w:line="276" w:lineRule="auto"/>
        <w:jc w:val="left"/>
        <w:rPr>
          <w:rFonts w:ascii="仿宋" w:hAnsi="仿宋" w:eastAsia="仿宋" w:cs="宋体"/>
          <w:sz w:val="28"/>
          <w:szCs w:val="28"/>
        </w:rPr>
      </w:pPr>
      <w:r>
        <w:rPr>
          <w:rFonts w:hint="eastAsia" w:ascii="仿宋" w:hAnsi="仿宋" w:eastAsia="仿宋"/>
          <w:bCs/>
          <w:sz w:val="28"/>
          <w:szCs w:val="28"/>
        </w:rPr>
        <w:t>5</w:t>
      </w:r>
      <w:r>
        <w:rPr>
          <w:rFonts w:ascii="仿宋" w:hAnsi="仿宋" w:eastAsia="仿宋"/>
          <w:bCs/>
          <w:sz w:val="28"/>
          <w:szCs w:val="28"/>
        </w:rPr>
        <w:t>.</w:t>
      </w:r>
      <w:r>
        <w:rPr>
          <w:rFonts w:hint="eastAsia" w:ascii="仿宋" w:hAnsi="仿宋" w:eastAsia="仿宋"/>
          <w:bCs/>
          <w:sz w:val="28"/>
          <w:szCs w:val="28"/>
        </w:rPr>
        <w:t>科室决策模块：</w:t>
      </w:r>
      <w:r>
        <w:rPr>
          <w:rFonts w:hint="eastAsia" w:ascii="仿宋" w:hAnsi="仿宋" w:eastAsia="仿宋" w:cs="宋体"/>
          <w:sz w:val="28"/>
          <w:szCs w:val="28"/>
        </w:rPr>
        <w:t>提供业务数据分析及运营数据分析，为科室经营决策、人员绩效提供数字依据。主要包括：科室工作量统计、科室项目分析、科室求美者特征分析等等。</w:t>
      </w:r>
    </w:p>
    <w:p w14:paraId="7B235235">
      <w:pPr>
        <w:spacing w:line="276" w:lineRule="auto"/>
        <w:jc w:val="left"/>
        <w:rPr>
          <w:rFonts w:ascii="仿宋" w:hAnsi="仿宋" w:eastAsia="仿宋"/>
          <w:bCs/>
          <w:sz w:val="28"/>
          <w:szCs w:val="28"/>
        </w:rPr>
      </w:pPr>
      <w:r>
        <w:rPr>
          <w:rFonts w:hint="eastAsia" w:ascii="仿宋" w:hAnsi="仿宋" w:eastAsia="仿宋"/>
          <w:bCs/>
          <w:sz w:val="28"/>
          <w:szCs w:val="28"/>
        </w:rPr>
        <w:t>6</w:t>
      </w:r>
      <w:r>
        <w:rPr>
          <w:rFonts w:ascii="仿宋" w:hAnsi="仿宋" w:eastAsia="仿宋"/>
          <w:bCs/>
          <w:sz w:val="28"/>
          <w:szCs w:val="28"/>
        </w:rPr>
        <w:t>.</w:t>
      </w:r>
      <w:r>
        <w:rPr>
          <w:rFonts w:hint="eastAsia" w:ascii="仿宋" w:hAnsi="仿宋" w:eastAsia="仿宋"/>
          <w:bCs/>
          <w:sz w:val="28"/>
          <w:szCs w:val="28"/>
        </w:rPr>
        <w:t>营销模块：因为国家政策的要求，公立医院在营销宣传的方式方法上比较受限。但是医疗美容科依然对老客户的满意度提升，持续复购，沉默用户的激活等方面，有较强需求。系统包含了适合公立医院使用的营销工具，供科室使用。</w:t>
      </w:r>
    </w:p>
    <w:p w14:paraId="301AB47B">
      <w:pPr>
        <w:spacing w:line="276" w:lineRule="auto"/>
        <w:jc w:val="left"/>
        <w:rPr>
          <w:rFonts w:ascii="仿宋" w:hAnsi="仿宋" w:eastAsia="仿宋"/>
          <w:sz w:val="28"/>
          <w:szCs w:val="28"/>
        </w:rPr>
      </w:pPr>
    </w:p>
    <w:p w14:paraId="107A7986">
      <w:pPr>
        <w:pStyle w:val="7"/>
      </w:pPr>
      <w:r>
        <w:rPr>
          <w:rFonts w:hint="eastAsia"/>
        </w:rPr>
        <w:t>二、系统建设涉及的功能</w:t>
      </w:r>
    </w:p>
    <w:p w14:paraId="21DF7EA8">
      <w:pPr>
        <w:spacing w:line="360" w:lineRule="auto"/>
        <w:ind w:firstLine="560" w:firstLineChars="200"/>
        <w:rPr>
          <w:rFonts w:ascii="仿宋" w:hAnsi="仿宋" w:eastAsia="仿宋"/>
          <w:sz w:val="28"/>
          <w:szCs w:val="28"/>
        </w:rPr>
      </w:pPr>
      <w:r>
        <w:rPr>
          <w:rFonts w:ascii="仿宋" w:hAnsi="仿宋" w:eastAsia="仿宋"/>
          <w:sz w:val="28"/>
          <w:szCs w:val="28"/>
        </w:rPr>
        <w:t>搭建医美数</w:t>
      </w:r>
      <w:r>
        <w:rPr>
          <w:rFonts w:hint="eastAsia" w:ascii="仿宋" w:hAnsi="仿宋" w:eastAsia="仿宋"/>
          <w:sz w:val="28"/>
          <w:szCs w:val="28"/>
        </w:rPr>
        <w:t>智</w:t>
      </w:r>
      <w:r>
        <w:rPr>
          <w:rFonts w:ascii="仿宋" w:hAnsi="仿宋" w:eastAsia="仿宋"/>
          <w:sz w:val="28"/>
          <w:szCs w:val="28"/>
        </w:rPr>
        <w:t>化管理平台，实现对医美业务全生命周期的管理，覆盖从患者咨询、预约、诊疗、</w:t>
      </w:r>
      <w:r>
        <w:rPr>
          <w:rFonts w:hint="eastAsia" w:ascii="仿宋" w:hAnsi="仿宋" w:eastAsia="仿宋"/>
          <w:sz w:val="28"/>
          <w:szCs w:val="28"/>
        </w:rPr>
        <w:t>院</w:t>
      </w:r>
      <w:r>
        <w:rPr>
          <w:rFonts w:ascii="仿宋" w:hAnsi="仿宋" w:eastAsia="仿宋"/>
          <w:sz w:val="28"/>
          <w:szCs w:val="28"/>
        </w:rPr>
        <w:t>后</w:t>
      </w:r>
      <w:r>
        <w:rPr>
          <w:rFonts w:hint="eastAsia" w:ascii="仿宋" w:hAnsi="仿宋" w:eastAsia="仿宋"/>
          <w:sz w:val="28"/>
          <w:szCs w:val="28"/>
        </w:rPr>
        <w:t>随访</w:t>
      </w:r>
      <w:r>
        <w:rPr>
          <w:rFonts w:ascii="仿宋" w:hAnsi="仿宋" w:eastAsia="仿宋"/>
          <w:sz w:val="28"/>
          <w:szCs w:val="28"/>
        </w:rPr>
        <w:t>跟进到数据分析的全流程管理。</w:t>
      </w:r>
    </w:p>
    <w:tbl>
      <w:tblPr>
        <w:tblStyle w:val="10"/>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00"/>
        <w:gridCol w:w="6120"/>
      </w:tblGrid>
      <w:tr w14:paraId="5B74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648" w:type="dxa"/>
            <w:vAlign w:val="center"/>
          </w:tcPr>
          <w:p w14:paraId="1C4CD1BB">
            <w:pPr>
              <w:jc w:val="center"/>
              <w:rPr>
                <w:rFonts w:ascii="仿宋" w:hAnsi="仿宋" w:eastAsia="仿宋"/>
                <w:b/>
              </w:rPr>
            </w:pPr>
            <w:r>
              <w:rPr>
                <w:rFonts w:hint="eastAsia" w:ascii="仿宋" w:hAnsi="仿宋" w:eastAsia="仿宋"/>
                <w:b/>
              </w:rPr>
              <w:t>序号</w:t>
            </w:r>
          </w:p>
        </w:tc>
        <w:tc>
          <w:tcPr>
            <w:tcW w:w="1800" w:type="dxa"/>
            <w:vAlign w:val="center"/>
          </w:tcPr>
          <w:p w14:paraId="4A16C102">
            <w:pPr>
              <w:jc w:val="center"/>
              <w:rPr>
                <w:rFonts w:ascii="仿宋" w:hAnsi="仿宋" w:eastAsia="仿宋"/>
                <w:b/>
              </w:rPr>
            </w:pPr>
            <w:r>
              <w:rPr>
                <w:rFonts w:ascii="仿宋" w:hAnsi="仿宋" w:eastAsia="仿宋"/>
                <w:b/>
              </w:rPr>
              <w:t>项目</w:t>
            </w:r>
            <w:r>
              <w:rPr>
                <w:rFonts w:hint="eastAsia" w:ascii="仿宋" w:hAnsi="仿宋" w:eastAsia="仿宋"/>
                <w:b/>
              </w:rPr>
              <w:t>名称</w:t>
            </w:r>
          </w:p>
        </w:tc>
        <w:tc>
          <w:tcPr>
            <w:tcW w:w="6120" w:type="dxa"/>
            <w:vAlign w:val="center"/>
          </w:tcPr>
          <w:p w14:paraId="65F74DE7">
            <w:pPr>
              <w:jc w:val="center"/>
              <w:rPr>
                <w:rFonts w:ascii="仿宋" w:hAnsi="仿宋" w:eastAsia="仿宋"/>
                <w:b/>
              </w:rPr>
            </w:pPr>
            <w:r>
              <w:rPr>
                <w:rFonts w:hint="eastAsia" w:ascii="仿宋" w:hAnsi="仿宋" w:eastAsia="仿宋"/>
                <w:b/>
              </w:rPr>
              <w:t>功能及技术要求</w:t>
            </w:r>
          </w:p>
        </w:tc>
      </w:tr>
      <w:tr w14:paraId="1D92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21FEBBA3">
            <w:pPr>
              <w:jc w:val="center"/>
              <w:rPr>
                <w:rFonts w:ascii="仿宋" w:hAnsi="仿宋" w:eastAsia="仿宋"/>
              </w:rPr>
            </w:pPr>
            <w:r>
              <w:rPr>
                <w:rFonts w:ascii="仿宋" w:hAnsi="仿宋" w:eastAsia="仿宋"/>
              </w:rPr>
              <w:t>1</w:t>
            </w:r>
          </w:p>
        </w:tc>
        <w:tc>
          <w:tcPr>
            <w:tcW w:w="1800" w:type="dxa"/>
            <w:vMerge w:val="restart"/>
            <w:vAlign w:val="center"/>
          </w:tcPr>
          <w:p w14:paraId="4471116A">
            <w:pPr>
              <w:jc w:val="center"/>
              <w:rPr>
                <w:rFonts w:ascii="仿宋" w:hAnsi="仿宋" w:eastAsia="仿宋"/>
              </w:rPr>
            </w:pPr>
            <w:r>
              <w:rPr>
                <w:rFonts w:hint="eastAsia" w:ascii="仿宋" w:hAnsi="仿宋" w:eastAsia="仿宋"/>
              </w:rPr>
              <w:t>科室微站</w:t>
            </w:r>
          </w:p>
        </w:tc>
        <w:tc>
          <w:tcPr>
            <w:tcW w:w="6120" w:type="dxa"/>
            <w:vAlign w:val="center"/>
          </w:tcPr>
          <w:p w14:paraId="40B5E800">
            <w:pPr>
              <w:rPr>
                <w:rFonts w:ascii="仿宋" w:hAnsi="仿宋" w:eastAsia="仿宋"/>
              </w:rPr>
            </w:pPr>
            <w:r>
              <w:rPr>
                <w:rFonts w:hint="eastAsia" w:ascii="仿宋" w:hAnsi="仿宋" w:eastAsia="仿宋"/>
              </w:rPr>
              <w:t>支持用图文视频等丰富的方式展示科室医生</w:t>
            </w:r>
          </w:p>
        </w:tc>
      </w:tr>
      <w:tr w14:paraId="796F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76306B9">
            <w:pPr>
              <w:jc w:val="center"/>
              <w:rPr>
                <w:rFonts w:ascii="仿宋" w:hAnsi="仿宋" w:eastAsia="仿宋"/>
              </w:rPr>
            </w:pPr>
          </w:p>
        </w:tc>
        <w:tc>
          <w:tcPr>
            <w:tcW w:w="1800" w:type="dxa"/>
            <w:vMerge w:val="continue"/>
            <w:vAlign w:val="center"/>
          </w:tcPr>
          <w:p w14:paraId="7D05AEAF">
            <w:pPr>
              <w:jc w:val="center"/>
              <w:rPr>
                <w:rFonts w:ascii="仿宋" w:hAnsi="仿宋" w:eastAsia="仿宋"/>
              </w:rPr>
            </w:pPr>
          </w:p>
        </w:tc>
        <w:tc>
          <w:tcPr>
            <w:tcW w:w="6120" w:type="dxa"/>
            <w:vAlign w:val="center"/>
          </w:tcPr>
          <w:p w14:paraId="5E0B7AB7">
            <w:pPr>
              <w:rPr>
                <w:rFonts w:ascii="仿宋" w:hAnsi="仿宋" w:eastAsia="仿宋"/>
              </w:rPr>
            </w:pPr>
            <w:r>
              <w:rPr>
                <w:rFonts w:hint="eastAsia" w:ascii="仿宋" w:hAnsi="仿宋" w:eastAsia="仿宋"/>
              </w:rPr>
              <w:t>支持用图文视频等丰富的方式展示科室项目</w:t>
            </w:r>
          </w:p>
        </w:tc>
      </w:tr>
      <w:tr w14:paraId="253D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4AF97F07">
            <w:pPr>
              <w:jc w:val="center"/>
              <w:rPr>
                <w:rFonts w:ascii="仿宋" w:hAnsi="仿宋" w:eastAsia="仿宋"/>
              </w:rPr>
            </w:pPr>
          </w:p>
        </w:tc>
        <w:tc>
          <w:tcPr>
            <w:tcW w:w="1800" w:type="dxa"/>
            <w:vMerge w:val="continue"/>
            <w:vAlign w:val="center"/>
          </w:tcPr>
          <w:p w14:paraId="608B09FB">
            <w:pPr>
              <w:jc w:val="center"/>
              <w:rPr>
                <w:rFonts w:ascii="仿宋" w:hAnsi="仿宋" w:eastAsia="仿宋"/>
              </w:rPr>
            </w:pPr>
          </w:p>
        </w:tc>
        <w:tc>
          <w:tcPr>
            <w:tcW w:w="6120" w:type="dxa"/>
            <w:vAlign w:val="center"/>
          </w:tcPr>
          <w:p w14:paraId="510AC53D">
            <w:pPr>
              <w:rPr>
                <w:rFonts w:ascii="仿宋" w:hAnsi="仿宋" w:eastAsia="仿宋"/>
              </w:rPr>
            </w:pPr>
            <w:r>
              <w:rPr>
                <w:rFonts w:hint="eastAsia" w:ascii="仿宋" w:hAnsi="仿宋" w:eastAsia="仿宋"/>
              </w:rPr>
              <w:t>支持用图文视频等丰富的方式展示科室设备，设备优势等</w:t>
            </w:r>
          </w:p>
        </w:tc>
      </w:tr>
      <w:tr w14:paraId="6196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46617C23">
            <w:pPr>
              <w:jc w:val="center"/>
              <w:rPr>
                <w:rFonts w:ascii="仿宋" w:hAnsi="仿宋" w:eastAsia="仿宋"/>
              </w:rPr>
            </w:pPr>
            <w:r>
              <w:rPr>
                <w:rFonts w:ascii="仿宋" w:hAnsi="仿宋" w:eastAsia="仿宋"/>
              </w:rPr>
              <w:t>2</w:t>
            </w:r>
          </w:p>
        </w:tc>
        <w:tc>
          <w:tcPr>
            <w:tcW w:w="1800" w:type="dxa"/>
            <w:vMerge w:val="restart"/>
            <w:vAlign w:val="center"/>
          </w:tcPr>
          <w:p w14:paraId="24E420A9">
            <w:pPr>
              <w:jc w:val="center"/>
              <w:rPr>
                <w:rFonts w:ascii="仿宋" w:hAnsi="仿宋" w:eastAsia="仿宋"/>
              </w:rPr>
            </w:pPr>
            <w:r>
              <w:rPr>
                <w:rFonts w:hint="eastAsia" w:ascii="仿宋" w:hAnsi="仿宋" w:eastAsia="仿宋"/>
              </w:rPr>
              <w:t>电子档案管理系统</w:t>
            </w:r>
          </w:p>
        </w:tc>
        <w:tc>
          <w:tcPr>
            <w:tcW w:w="6120" w:type="dxa"/>
            <w:vAlign w:val="center"/>
          </w:tcPr>
          <w:p w14:paraId="5EC5B3FB">
            <w:pPr>
              <w:rPr>
                <w:rFonts w:ascii="仿宋" w:hAnsi="仿宋" w:eastAsia="仿宋"/>
              </w:rPr>
            </w:pPr>
            <w:r>
              <w:rPr>
                <w:rFonts w:hint="eastAsia" w:ascii="仿宋" w:hAnsi="仿宋" w:eastAsia="仿宋"/>
              </w:rPr>
              <w:t>患者基础信息管理</w:t>
            </w:r>
          </w:p>
        </w:tc>
      </w:tr>
      <w:tr w14:paraId="495C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68BA97D4">
            <w:pPr>
              <w:jc w:val="center"/>
              <w:rPr>
                <w:rFonts w:ascii="仿宋" w:hAnsi="仿宋" w:eastAsia="仿宋"/>
              </w:rPr>
            </w:pPr>
          </w:p>
        </w:tc>
        <w:tc>
          <w:tcPr>
            <w:tcW w:w="1800" w:type="dxa"/>
            <w:vMerge w:val="continue"/>
            <w:vAlign w:val="center"/>
          </w:tcPr>
          <w:p w14:paraId="595F8970">
            <w:pPr>
              <w:jc w:val="center"/>
              <w:rPr>
                <w:rFonts w:ascii="仿宋" w:hAnsi="仿宋" w:eastAsia="仿宋"/>
              </w:rPr>
            </w:pPr>
          </w:p>
        </w:tc>
        <w:tc>
          <w:tcPr>
            <w:tcW w:w="6120" w:type="dxa"/>
            <w:vAlign w:val="center"/>
          </w:tcPr>
          <w:p w14:paraId="41287D55">
            <w:pPr>
              <w:rPr>
                <w:rFonts w:ascii="仿宋" w:hAnsi="仿宋" w:eastAsia="仿宋"/>
              </w:rPr>
            </w:pPr>
            <w:r>
              <w:rPr>
                <w:rFonts w:hint="eastAsia" w:ascii="仿宋" w:hAnsi="仿宋" w:eastAsia="仿宋"/>
              </w:rPr>
              <w:t>患者账户信息管理</w:t>
            </w:r>
          </w:p>
        </w:tc>
      </w:tr>
      <w:tr w14:paraId="4CCA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DBFDF0E">
            <w:pPr>
              <w:jc w:val="center"/>
              <w:rPr>
                <w:rFonts w:ascii="仿宋" w:hAnsi="仿宋" w:eastAsia="仿宋"/>
              </w:rPr>
            </w:pPr>
          </w:p>
        </w:tc>
        <w:tc>
          <w:tcPr>
            <w:tcW w:w="1800" w:type="dxa"/>
            <w:vMerge w:val="continue"/>
            <w:vAlign w:val="center"/>
          </w:tcPr>
          <w:p w14:paraId="14DCE43F">
            <w:pPr>
              <w:jc w:val="center"/>
              <w:rPr>
                <w:rFonts w:ascii="仿宋" w:hAnsi="仿宋" w:eastAsia="仿宋"/>
              </w:rPr>
            </w:pPr>
          </w:p>
        </w:tc>
        <w:tc>
          <w:tcPr>
            <w:tcW w:w="6120" w:type="dxa"/>
            <w:vAlign w:val="center"/>
          </w:tcPr>
          <w:p w14:paraId="792CF54A">
            <w:pPr>
              <w:rPr>
                <w:rFonts w:ascii="仿宋" w:hAnsi="仿宋" w:eastAsia="仿宋"/>
              </w:rPr>
            </w:pPr>
            <w:r>
              <w:rPr>
                <w:rFonts w:hint="eastAsia" w:ascii="仿宋" w:hAnsi="仿宋" w:eastAsia="仿宋"/>
              </w:rPr>
              <w:t>患者治疗档案</w:t>
            </w:r>
          </w:p>
        </w:tc>
      </w:tr>
      <w:tr w14:paraId="6983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229C4174">
            <w:pPr>
              <w:jc w:val="center"/>
              <w:rPr>
                <w:rFonts w:ascii="仿宋" w:hAnsi="仿宋" w:eastAsia="仿宋"/>
              </w:rPr>
            </w:pPr>
          </w:p>
        </w:tc>
        <w:tc>
          <w:tcPr>
            <w:tcW w:w="1800" w:type="dxa"/>
            <w:vMerge w:val="continue"/>
            <w:vAlign w:val="center"/>
          </w:tcPr>
          <w:p w14:paraId="5F87C4F9">
            <w:pPr>
              <w:jc w:val="center"/>
              <w:rPr>
                <w:rFonts w:ascii="仿宋" w:hAnsi="仿宋" w:eastAsia="仿宋"/>
              </w:rPr>
            </w:pPr>
          </w:p>
        </w:tc>
        <w:tc>
          <w:tcPr>
            <w:tcW w:w="6120" w:type="dxa"/>
            <w:vAlign w:val="center"/>
          </w:tcPr>
          <w:p w14:paraId="769C6962">
            <w:pPr>
              <w:rPr>
                <w:rFonts w:ascii="仿宋" w:hAnsi="仿宋" w:eastAsia="仿宋"/>
              </w:rPr>
            </w:pPr>
            <w:r>
              <w:rPr>
                <w:rFonts w:hint="eastAsia" w:ascii="仿宋" w:hAnsi="仿宋" w:eastAsia="仿宋"/>
              </w:rPr>
              <w:t>患者影像档案</w:t>
            </w:r>
          </w:p>
        </w:tc>
      </w:tr>
      <w:tr w14:paraId="4025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7FA1EA5C">
            <w:pPr>
              <w:jc w:val="center"/>
              <w:rPr>
                <w:rFonts w:ascii="仿宋" w:hAnsi="仿宋" w:eastAsia="仿宋"/>
              </w:rPr>
            </w:pPr>
          </w:p>
        </w:tc>
        <w:tc>
          <w:tcPr>
            <w:tcW w:w="1800" w:type="dxa"/>
            <w:vMerge w:val="continue"/>
            <w:vAlign w:val="center"/>
          </w:tcPr>
          <w:p w14:paraId="01A8D119">
            <w:pPr>
              <w:jc w:val="center"/>
              <w:rPr>
                <w:rFonts w:ascii="仿宋" w:hAnsi="仿宋" w:eastAsia="仿宋"/>
              </w:rPr>
            </w:pPr>
          </w:p>
        </w:tc>
        <w:tc>
          <w:tcPr>
            <w:tcW w:w="6120" w:type="dxa"/>
            <w:vAlign w:val="center"/>
          </w:tcPr>
          <w:p w14:paraId="446A615B">
            <w:pPr>
              <w:rPr>
                <w:rFonts w:ascii="仿宋" w:hAnsi="仿宋" w:eastAsia="仿宋"/>
                <w:bCs/>
                <w:szCs w:val="21"/>
              </w:rPr>
            </w:pPr>
            <w:r>
              <w:rPr>
                <w:rFonts w:hint="eastAsia" w:ascii="仿宋" w:hAnsi="仿宋" w:eastAsia="仿宋"/>
                <w:bCs/>
                <w:szCs w:val="21"/>
              </w:rPr>
              <w:t>患者面诊档案</w:t>
            </w:r>
          </w:p>
        </w:tc>
      </w:tr>
      <w:tr w14:paraId="5667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3311FFF">
            <w:pPr>
              <w:jc w:val="center"/>
              <w:rPr>
                <w:rFonts w:ascii="仿宋" w:hAnsi="仿宋" w:eastAsia="仿宋"/>
              </w:rPr>
            </w:pPr>
          </w:p>
        </w:tc>
        <w:tc>
          <w:tcPr>
            <w:tcW w:w="1800" w:type="dxa"/>
            <w:vMerge w:val="continue"/>
            <w:vAlign w:val="center"/>
          </w:tcPr>
          <w:p w14:paraId="0EA5227A">
            <w:pPr>
              <w:jc w:val="center"/>
              <w:rPr>
                <w:rFonts w:ascii="仿宋" w:hAnsi="仿宋" w:eastAsia="仿宋"/>
              </w:rPr>
            </w:pPr>
          </w:p>
        </w:tc>
        <w:tc>
          <w:tcPr>
            <w:tcW w:w="6120" w:type="dxa"/>
            <w:vAlign w:val="center"/>
          </w:tcPr>
          <w:p w14:paraId="70285592">
            <w:pPr>
              <w:rPr>
                <w:rFonts w:ascii="仿宋" w:hAnsi="仿宋" w:eastAsia="仿宋"/>
                <w:bCs/>
                <w:szCs w:val="21"/>
              </w:rPr>
            </w:pPr>
            <w:r>
              <w:rPr>
                <w:rFonts w:hint="eastAsia" w:ascii="仿宋" w:hAnsi="仿宋" w:eastAsia="仿宋"/>
                <w:bCs/>
                <w:szCs w:val="21"/>
              </w:rPr>
              <w:t>患者充值服务</w:t>
            </w:r>
          </w:p>
        </w:tc>
      </w:tr>
      <w:tr w14:paraId="080C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64AAC0AB">
            <w:pPr>
              <w:jc w:val="center"/>
              <w:rPr>
                <w:rFonts w:ascii="仿宋" w:hAnsi="仿宋" w:eastAsia="仿宋"/>
              </w:rPr>
            </w:pPr>
          </w:p>
        </w:tc>
        <w:tc>
          <w:tcPr>
            <w:tcW w:w="1800" w:type="dxa"/>
            <w:vMerge w:val="continue"/>
            <w:vAlign w:val="center"/>
          </w:tcPr>
          <w:p w14:paraId="05AE546A">
            <w:pPr>
              <w:jc w:val="center"/>
              <w:rPr>
                <w:rFonts w:ascii="仿宋" w:hAnsi="仿宋" w:eastAsia="仿宋"/>
              </w:rPr>
            </w:pPr>
          </w:p>
        </w:tc>
        <w:tc>
          <w:tcPr>
            <w:tcW w:w="6120" w:type="dxa"/>
            <w:vAlign w:val="center"/>
          </w:tcPr>
          <w:p w14:paraId="0BE91664">
            <w:pPr>
              <w:rPr>
                <w:rFonts w:ascii="仿宋" w:hAnsi="仿宋" w:eastAsia="仿宋"/>
                <w:szCs w:val="21"/>
              </w:rPr>
            </w:pPr>
            <w:r>
              <w:rPr>
                <w:rFonts w:hint="eastAsia" w:ascii="仿宋" w:hAnsi="仿宋" w:eastAsia="仿宋"/>
                <w:szCs w:val="21"/>
              </w:rPr>
              <w:t>患者项目管理</w:t>
            </w:r>
          </w:p>
        </w:tc>
      </w:tr>
      <w:tr w14:paraId="2559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69D924FB">
            <w:pPr>
              <w:jc w:val="center"/>
              <w:rPr>
                <w:rFonts w:ascii="仿宋" w:hAnsi="仿宋" w:eastAsia="仿宋"/>
              </w:rPr>
            </w:pPr>
            <w:r>
              <w:rPr>
                <w:rFonts w:ascii="仿宋" w:hAnsi="仿宋" w:eastAsia="仿宋"/>
              </w:rPr>
              <w:t>3</w:t>
            </w:r>
          </w:p>
        </w:tc>
        <w:tc>
          <w:tcPr>
            <w:tcW w:w="1800" w:type="dxa"/>
            <w:vMerge w:val="restart"/>
            <w:vAlign w:val="center"/>
          </w:tcPr>
          <w:p w14:paraId="4A6C93CA">
            <w:pPr>
              <w:jc w:val="center"/>
              <w:rPr>
                <w:rFonts w:ascii="仿宋" w:hAnsi="仿宋" w:eastAsia="仿宋"/>
              </w:rPr>
            </w:pPr>
            <w:r>
              <w:rPr>
                <w:rFonts w:hint="eastAsia" w:ascii="仿宋" w:hAnsi="仿宋" w:eastAsia="仿宋"/>
              </w:rPr>
              <w:t>数字化全流程工作台</w:t>
            </w:r>
          </w:p>
        </w:tc>
        <w:tc>
          <w:tcPr>
            <w:tcW w:w="6120" w:type="dxa"/>
            <w:vAlign w:val="center"/>
          </w:tcPr>
          <w:p w14:paraId="426E87B8">
            <w:pPr>
              <w:rPr>
                <w:rFonts w:ascii="仿宋" w:hAnsi="仿宋" w:eastAsia="仿宋"/>
              </w:rPr>
            </w:pPr>
            <w:r>
              <w:rPr>
                <w:rFonts w:hint="eastAsia" w:ascii="仿宋" w:hAnsi="仿宋" w:eastAsia="仿宋"/>
              </w:rPr>
              <w:t>支持用户预约、改期、取消预约</w:t>
            </w:r>
          </w:p>
        </w:tc>
      </w:tr>
      <w:tr w14:paraId="63FB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76BB4A70">
            <w:pPr>
              <w:jc w:val="center"/>
              <w:rPr>
                <w:rFonts w:ascii="仿宋" w:hAnsi="仿宋" w:eastAsia="仿宋"/>
              </w:rPr>
            </w:pPr>
          </w:p>
        </w:tc>
        <w:tc>
          <w:tcPr>
            <w:tcW w:w="1800" w:type="dxa"/>
            <w:vMerge w:val="continue"/>
            <w:vAlign w:val="center"/>
          </w:tcPr>
          <w:p w14:paraId="0A23A6C6">
            <w:pPr>
              <w:jc w:val="center"/>
              <w:rPr>
                <w:rFonts w:ascii="仿宋" w:hAnsi="仿宋" w:eastAsia="仿宋"/>
              </w:rPr>
            </w:pPr>
          </w:p>
        </w:tc>
        <w:tc>
          <w:tcPr>
            <w:tcW w:w="6120" w:type="dxa"/>
            <w:vAlign w:val="center"/>
          </w:tcPr>
          <w:p w14:paraId="14C1A59E">
            <w:pPr>
              <w:rPr>
                <w:rFonts w:ascii="仿宋" w:hAnsi="仿宋" w:eastAsia="仿宋"/>
              </w:rPr>
            </w:pPr>
            <w:r>
              <w:rPr>
                <w:rFonts w:hint="eastAsia" w:ascii="仿宋" w:hAnsi="仿宋" w:eastAsia="仿宋"/>
              </w:rPr>
              <w:t>支持按医护组、项目分类、时间周期、预约平台、预约人等多个方面设置预约规则</w:t>
            </w:r>
          </w:p>
        </w:tc>
      </w:tr>
      <w:tr w14:paraId="2B26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3AE876E7">
            <w:pPr>
              <w:jc w:val="center"/>
              <w:rPr>
                <w:rFonts w:ascii="仿宋" w:hAnsi="仿宋" w:eastAsia="仿宋"/>
              </w:rPr>
            </w:pPr>
          </w:p>
        </w:tc>
        <w:tc>
          <w:tcPr>
            <w:tcW w:w="1800" w:type="dxa"/>
            <w:vMerge w:val="continue"/>
            <w:vAlign w:val="center"/>
          </w:tcPr>
          <w:p w14:paraId="0326498C">
            <w:pPr>
              <w:jc w:val="center"/>
              <w:rPr>
                <w:rFonts w:ascii="仿宋" w:hAnsi="仿宋" w:eastAsia="仿宋"/>
              </w:rPr>
            </w:pPr>
          </w:p>
        </w:tc>
        <w:tc>
          <w:tcPr>
            <w:tcW w:w="6120" w:type="dxa"/>
            <w:vAlign w:val="center"/>
          </w:tcPr>
          <w:p w14:paraId="6EE03A3A">
            <w:pPr>
              <w:rPr>
                <w:rFonts w:ascii="仿宋" w:hAnsi="仿宋" w:eastAsia="仿宋"/>
              </w:rPr>
            </w:pPr>
            <w:r>
              <w:rPr>
                <w:rFonts w:hint="eastAsia" w:ascii="仿宋" w:hAnsi="仿宋" w:eastAsia="仿宋"/>
              </w:rPr>
              <w:t>同步科室系统麻醉时间设定，在及时通知用户麻醉状态</w:t>
            </w:r>
          </w:p>
        </w:tc>
      </w:tr>
      <w:tr w14:paraId="590A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63B7E45">
            <w:pPr>
              <w:jc w:val="center"/>
              <w:rPr>
                <w:rFonts w:ascii="仿宋" w:hAnsi="仿宋" w:eastAsia="仿宋"/>
              </w:rPr>
            </w:pPr>
          </w:p>
        </w:tc>
        <w:tc>
          <w:tcPr>
            <w:tcW w:w="1800" w:type="dxa"/>
            <w:vMerge w:val="continue"/>
            <w:vAlign w:val="center"/>
          </w:tcPr>
          <w:p w14:paraId="3367D75D">
            <w:pPr>
              <w:jc w:val="center"/>
              <w:rPr>
                <w:rFonts w:ascii="仿宋" w:hAnsi="仿宋" w:eastAsia="仿宋"/>
              </w:rPr>
            </w:pPr>
          </w:p>
        </w:tc>
        <w:tc>
          <w:tcPr>
            <w:tcW w:w="6120" w:type="dxa"/>
            <w:vAlign w:val="center"/>
          </w:tcPr>
          <w:p w14:paraId="31BDCA67">
            <w:pPr>
              <w:rPr>
                <w:rFonts w:ascii="仿宋" w:hAnsi="仿宋" w:eastAsia="仿宋"/>
              </w:rPr>
            </w:pPr>
            <w:r>
              <w:rPr>
                <w:rFonts w:hint="eastAsia" w:ascii="仿宋" w:hAnsi="仿宋" w:eastAsia="仿宋"/>
              </w:rPr>
              <w:t>支持创建医护组、设备组、项目组等多维度维护治疗排班规则</w:t>
            </w:r>
          </w:p>
        </w:tc>
      </w:tr>
      <w:tr w14:paraId="66FE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4D268C5">
            <w:pPr>
              <w:rPr>
                <w:rFonts w:ascii="仿宋" w:hAnsi="仿宋" w:eastAsia="仿宋"/>
              </w:rPr>
            </w:pPr>
          </w:p>
        </w:tc>
        <w:tc>
          <w:tcPr>
            <w:tcW w:w="1800" w:type="dxa"/>
            <w:vMerge w:val="continue"/>
            <w:vAlign w:val="center"/>
          </w:tcPr>
          <w:p w14:paraId="170A0BC2">
            <w:pPr>
              <w:jc w:val="center"/>
              <w:rPr>
                <w:rFonts w:ascii="仿宋" w:hAnsi="仿宋" w:eastAsia="仿宋"/>
              </w:rPr>
            </w:pPr>
          </w:p>
        </w:tc>
        <w:tc>
          <w:tcPr>
            <w:tcW w:w="6120" w:type="dxa"/>
            <w:vAlign w:val="center"/>
          </w:tcPr>
          <w:p w14:paraId="7771E22C">
            <w:pPr>
              <w:rPr>
                <w:rFonts w:ascii="仿宋" w:hAnsi="仿宋" w:eastAsia="仿宋"/>
              </w:rPr>
            </w:pPr>
            <w:r>
              <w:rPr>
                <w:rFonts w:hint="eastAsia" w:ascii="仿宋" w:hAnsi="仿宋" w:eastAsia="仿宋"/>
              </w:rPr>
              <w:t>治疗档案录入、编辑及修改</w:t>
            </w:r>
          </w:p>
        </w:tc>
      </w:tr>
      <w:tr w14:paraId="1BF4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1E1A5CF">
            <w:pPr>
              <w:rPr>
                <w:rFonts w:ascii="仿宋" w:hAnsi="仿宋" w:eastAsia="仿宋"/>
              </w:rPr>
            </w:pPr>
          </w:p>
        </w:tc>
        <w:tc>
          <w:tcPr>
            <w:tcW w:w="1800" w:type="dxa"/>
            <w:vMerge w:val="continue"/>
            <w:vAlign w:val="center"/>
          </w:tcPr>
          <w:p w14:paraId="58A2E372">
            <w:pPr>
              <w:jc w:val="center"/>
              <w:rPr>
                <w:rFonts w:ascii="仿宋" w:hAnsi="仿宋" w:eastAsia="仿宋"/>
              </w:rPr>
            </w:pPr>
          </w:p>
        </w:tc>
        <w:tc>
          <w:tcPr>
            <w:tcW w:w="6120" w:type="dxa"/>
            <w:vAlign w:val="center"/>
          </w:tcPr>
          <w:p w14:paraId="7BFC5FCE">
            <w:pPr>
              <w:rPr>
                <w:rFonts w:ascii="仿宋" w:hAnsi="仿宋" w:eastAsia="仿宋"/>
              </w:rPr>
            </w:pPr>
            <w:r>
              <w:rPr>
                <w:rFonts w:hint="eastAsia" w:ascii="仿宋" w:hAnsi="仿宋" w:eastAsia="仿宋"/>
              </w:rPr>
              <w:t>自定义治疗档案模版，包括录入参数名称、分类及录入形式</w:t>
            </w:r>
          </w:p>
        </w:tc>
      </w:tr>
      <w:tr w14:paraId="2FF1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0A564051">
            <w:pPr>
              <w:rPr>
                <w:rFonts w:ascii="仿宋" w:hAnsi="仿宋" w:eastAsia="仿宋"/>
              </w:rPr>
            </w:pPr>
          </w:p>
        </w:tc>
        <w:tc>
          <w:tcPr>
            <w:tcW w:w="1800" w:type="dxa"/>
            <w:vMerge w:val="continue"/>
            <w:vAlign w:val="center"/>
          </w:tcPr>
          <w:p w14:paraId="29EE116F">
            <w:pPr>
              <w:jc w:val="center"/>
              <w:rPr>
                <w:rFonts w:ascii="仿宋" w:hAnsi="仿宋" w:eastAsia="仿宋"/>
              </w:rPr>
            </w:pPr>
          </w:p>
        </w:tc>
        <w:tc>
          <w:tcPr>
            <w:tcW w:w="6120" w:type="dxa"/>
            <w:vAlign w:val="center"/>
          </w:tcPr>
          <w:p w14:paraId="2D1F9708">
            <w:pPr>
              <w:rPr>
                <w:rFonts w:ascii="仿宋" w:hAnsi="仿宋" w:eastAsia="仿宋"/>
              </w:rPr>
            </w:pPr>
            <w:r>
              <w:rPr>
                <w:rFonts w:hint="eastAsia" w:ascii="仿宋" w:hAnsi="仿宋" w:eastAsia="仿宋"/>
              </w:rPr>
              <w:t>患者手术签署知情同意书</w:t>
            </w:r>
          </w:p>
        </w:tc>
      </w:tr>
      <w:tr w14:paraId="17C7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6D5A474F">
            <w:pPr>
              <w:jc w:val="center"/>
              <w:rPr>
                <w:rFonts w:ascii="仿宋" w:hAnsi="仿宋" w:eastAsia="仿宋"/>
              </w:rPr>
            </w:pPr>
            <w:r>
              <w:rPr>
                <w:rFonts w:hint="eastAsia" w:ascii="仿宋" w:hAnsi="仿宋" w:eastAsia="仿宋"/>
              </w:rPr>
              <w:t>4</w:t>
            </w:r>
          </w:p>
        </w:tc>
        <w:tc>
          <w:tcPr>
            <w:tcW w:w="1800" w:type="dxa"/>
            <w:vMerge w:val="restart"/>
            <w:vAlign w:val="center"/>
          </w:tcPr>
          <w:p w14:paraId="3B6E885A">
            <w:pPr>
              <w:jc w:val="center"/>
              <w:rPr>
                <w:rFonts w:ascii="仿宋" w:hAnsi="仿宋" w:eastAsia="仿宋"/>
              </w:rPr>
            </w:pPr>
            <w:r>
              <w:rPr>
                <w:rFonts w:hint="eastAsia" w:ascii="仿宋" w:hAnsi="仿宋" w:eastAsia="仿宋"/>
              </w:rPr>
              <w:t>智能回访系统</w:t>
            </w:r>
          </w:p>
        </w:tc>
        <w:tc>
          <w:tcPr>
            <w:tcW w:w="6120" w:type="dxa"/>
            <w:vAlign w:val="center"/>
          </w:tcPr>
          <w:p w14:paraId="1A71B8B1">
            <w:pPr>
              <w:rPr>
                <w:rFonts w:ascii="仿宋" w:hAnsi="仿宋" w:eastAsia="仿宋"/>
              </w:rPr>
            </w:pPr>
            <w:r>
              <w:rPr>
                <w:rFonts w:hint="eastAsia" w:ascii="仿宋" w:hAnsi="仿宋" w:eastAsia="仿宋"/>
              </w:rPr>
              <w:t>支持每次治疗后，及时发送术后注意事项</w:t>
            </w:r>
          </w:p>
        </w:tc>
      </w:tr>
      <w:tr w14:paraId="1B8B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4E9107F8">
            <w:pPr>
              <w:rPr>
                <w:rFonts w:ascii="仿宋" w:hAnsi="仿宋" w:eastAsia="仿宋"/>
              </w:rPr>
            </w:pPr>
          </w:p>
        </w:tc>
        <w:tc>
          <w:tcPr>
            <w:tcW w:w="1800" w:type="dxa"/>
            <w:vMerge w:val="continue"/>
            <w:vAlign w:val="center"/>
          </w:tcPr>
          <w:p w14:paraId="2CEB8C76">
            <w:pPr>
              <w:jc w:val="center"/>
              <w:rPr>
                <w:rFonts w:ascii="仿宋" w:hAnsi="仿宋" w:eastAsia="仿宋"/>
              </w:rPr>
            </w:pPr>
          </w:p>
        </w:tc>
        <w:tc>
          <w:tcPr>
            <w:tcW w:w="6120" w:type="dxa"/>
            <w:vAlign w:val="center"/>
          </w:tcPr>
          <w:p w14:paraId="63785CC3">
            <w:pPr>
              <w:rPr>
                <w:rFonts w:ascii="仿宋" w:hAnsi="仿宋" w:eastAsia="仿宋"/>
              </w:rPr>
            </w:pPr>
            <w:r>
              <w:rPr>
                <w:rFonts w:hint="eastAsia" w:ascii="仿宋" w:hAnsi="仿宋" w:eastAsia="仿宋"/>
              </w:rPr>
              <w:t>支持在标准模板基础上，修改科室个性化注意事项</w:t>
            </w:r>
          </w:p>
        </w:tc>
      </w:tr>
      <w:tr w14:paraId="4B74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4986793">
            <w:pPr>
              <w:rPr>
                <w:rFonts w:ascii="仿宋" w:hAnsi="仿宋" w:eastAsia="仿宋"/>
              </w:rPr>
            </w:pPr>
          </w:p>
        </w:tc>
        <w:tc>
          <w:tcPr>
            <w:tcW w:w="1800" w:type="dxa"/>
            <w:vMerge w:val="continue"/>
            <w:vAlign w:val="center"/>
          </w:tcPr>
          <w:p w14:paraId="75CA65A4">
            <w:pPr>
              <w:jc w:val="center"/>
              <w:rPr>
                <w:rFonts w:ascii="仿宋" w:hAnsi="仿宋" w:eastAsia="仿宋"/>
              </w:rPr>
            </w:pPr>
          </w:p>
        </w:tc>
        <w:tc>
          <w:tcPr>
            <w:tcW w:w="6120" w:type="dxa"/>
            <w:vAlign w:val="center"/>
          </w:tcPr>
          <w:p w14:paraId="70AA2C5A">
            <w:pPr>
              <w:rPr>
                <w:rFonts w:ascii="仿宋" w:hAnsi="仿宋" w:eastAsia="仿宋"/>
              </w:rPr>
            </w:pPr>
            <w:r>
              <w:rPr>
                <w:rFonts w:hint="eastAsia" w:ascii="仿宋" w:hAnsi="仿宋" w:eastAsia="仿宋"/>
              </w:rPr>
              <w:t>专业的项目回访库</w:t>
            </w:r>
          </w:p>
        </w:tc>
      </w:tr>
      <w:tr w14:paraId="1524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4BDC3D7E">
            <w:pPr>
              <w:rPr>
                <w:rFonts w:ascii="仿宋" w:hAnsi="仿宋" w:eastAsia="仿宋"/>
              </w:rPr>
            </w:pPr>
          </w:p>
        </w:tc>
        <w:tc>
          <w:tcPr>
            <w:tcW w:w="1800" w:type="dxa"/>
            <w:vMerge w:val="continue"/>
            <w:vAlign w:val="center"/>
          </w:tcPr>
          <w:p w14:paraId="5B2FFB2A">
            <w:pPr>
              <w:jc w:val="center"/>
              <w:rPr>
                <w:rFonts w:ascii="仿宋" w:hAnsi="仿宋" w:eastAsia="仿宋"/>
              </w:rPr>
            </w:pPr>
          </w:p>
        </w:tc>
        <w:tc>
          <w:tcPr>
            <w:tcW w:w="6120" w:type="dxa"/>
            <w:vAlign w:val="center"/>
          </w:tcPr>
          <w:p w14:paraId="5AC365C7">
            <w:pPr>
              <w:rPr>
                <w:rFonts w:ascii="仿宋" w:hAnsi="仿宋" w:eastAsia="仿宋"/>
              </w:rPr>
            </w:pPr>
            <w:r>
              <w:rPr>
                <w:rFonts w:hint="eastAsia" w:ascii="仿宋" w:hAnsi="仿宋" w:eastAsia="仿宋"/>
              </w:rPr>
              <w:t>回访数据进行统计分析</w:t>
            </w:r>
          </w:p>
        </w:tc>
      </w:tr>
      <w:tr w14:paraId="1636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32D8A7B3">
            <w:pPr>
              <w:jc w:val="center"/>
              <w:rPr>
                <w:rFonts w:ascii="仿宋" w:hAnsi="仿宋" w:eastAsia="仿宋"/>
              </w:rPr>
            </w:pPr>
            <w:r>
              <w:rPr>
                <w:rFonts w:hint="eastAsia" w:ascii="仿宋" w:hAnsi="仿宋" w:eastAsia="仿宋"/>
              </w:rPr>
              <w:t>5</w:t>
            </w:r>
          </w:p>
        </w:tc>
        <w:tc>
          <w:tcPr>
            <w:tcW w:w="1800" w:type="dxa"/>
            <w:vMerge w:val="restart"/>
            <w:vAlign w:val="center"/>
          </w:tcPr>
          <w:p w14:paraId="3CA657F1">
            <w:pPr>
              <w:jc w:val="center"/>
              <w:rPr>
                <w:rFonts w:ascii="仿宋" w:hAnsi="仿宋" w:eastAsia="仿宋"/>
              </w:rPr>
            </w:pPr>
            <w:r>
              <w:rPr>
                <w:rFonts w:hint="eastAsia" w:ascii="仿宋" w:hAnsi="仿宋" w:eastAsia="仿宋"/>
              </w:rPr>
              <w:t>科室决策系统</w:t>
            </w:r>
          </w:p>
        </w:tc>
        <w:tc>
          <w:tcPr>
            <w:tcW w:w="6120" w:type="dxa"/>
            <w:vAlign w:val="center"/>
          </w:tcPr>
          <w:p w14:paraId="54889131">
            <w:pPr>
              <w:rPr>
                <w:rFonts w:ascii="仿宋" w:hAnsi="仿宋" w:eastAsia="仿宋"/>
              </w:rPr>
            </w:pPr>
            <w:r>
              <w:rPr>
                <w:rFonts w:hint="eastAsia" w:ascii="仿宋" w:hAnsi="仿宋" w:eastAsia="仿宋"/>
              </w:rPr>
              <w:t>自动统计科室月度绩效</w:t>
            </w:r>
          </w:p>
        </w:tc>
      </w:tr>
      <w:tr w14:paraId="48E0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158B323">
            <w:pPr>
              <w:rPr>
                <w:rFonts w:ascii="仿宋" w:hAnsi="仿宋" w:eastAsia="仿宋"/>
              </w:rPr>
            </w:pPr>
          </w:p>
        </w:tc>
        <w:tc>
          <w:tcPr>
            <w:tcW w:w="1800" w:type="dxa"/>
            <w:vMerge w:val="continue"/>
            <w:vAlign w:val="center"/>
          </w:tcPr>
          <w:p w14:paraId="52DD344F">
            <w:pPr>
              <w:jc w:val="center"/>
              <w:rPr>
                <w:rFonts w:ascii="仿宋" w:hAnsi="仿宋" w:eastAsia="仿宋"/>
              </w:rPr>
            </w:pPr>
          </w:p>
        </w:tc>
        <w:tc>
          <w:tcPr>
            <w:tcW w:w="6120" w:type="dxa"/>
            <w:vAlign w:val="center"/>
          </w:tcPr>
          <w:p w14:paraId="0B2C9870">
            <w:pPr>
              <w:rPr>
                <w:rFonts w:ascii="仿宋" w:hAnsi="仿宋" w:eastAsia="仿宋"/>
              </w:rPr>
            </w:pPr>
            <w:r>
              <w:rPr>
                <w:rFonts w:hint="eastAsia" w:ascii="仿宋" w:hAnsi="仿宋" w:eastAsia="仿宋"/>
              </w:rPr>
              <w:t>以月/周为单位统计分析科室营销数据</w:t>
            </w:r>
          </w:p>
        </w:tc>
      </w:tr>
      <w:tr w14:paraId="2748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70C2918A">
            <w:pPr>
              <w:rPr>
                <w:rFonts w:ascii="仿宋" w:hAnsi="仿宋" w:eastAsia="仿宋"/>
              </w:rPr>
            </w:pPr>
          </w:p>
        </w:tc>
        <w:tc>
          <w:tcPr>
            <w:tcW w:w="1800" w:type="dxa"/>
            <w:vMerge w:val="continue"/>
            <w:vAlign w:val="center"/>
          </w:tcPr>
          <w:p w14:paraId="73563CD6">
            <w:pPr>
              <w:jc w:val="center"/>
              <w:rPr>
                <w:rFonts w:ascii="仿宋" w:hAnsi="仿宋" w:eastAsia="仿宋"/>
              </w:rPr>
            </w:pPr>
          </w:p>
        </w:tc>
        <w:tc>
          <w:tcPr>
            <w:tcW w:w="6120" w:type="dxa"/>
            <w:vAlign w:val="center"/>
          </w:tcPr>
          <w:p w14:paraId="4E68D88D">
            <w:pPr>
              <w:rPr>
                <w:rFonts w:ascii="仿宋" w:hAnsi="仿宋" w:eastAsia="仿宋"/>
              </w:rPr>
            </w:pPr>
            <w:r>
              <w:rPr>
                <w:rFonts w:hint="eastAsia" w:ascii="仿宋" w:hAnsi="仿宋" w:eastAsia="仿宋"/>
              </w:rPr>
              <w:t>科室项目营销进行统计分析，查看各项目情况</w:t>
            </w:r>
          </w:p>
        </w:tc>
      </w:tr>
      <w:tr w14:paraId="6DC9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1FC991A0">
            <w:pPr>
              <w:rPr>
                <w:rFonts w:ascii="仿宋" w:hAnsi="仿宋" w:eastAsia="仿宋"/>
              </w:rPr>
            </w:pPr>
          </w:p>
        </w:tc>
        <w:tc>
          <w:tcPr>
            <w:tcW w:w="1800" w:type="dxa"/>
            <w:vMerge w:val="continue"/>
            <w:vAlign w:val="center"/>
          </w:tcPr>
          <w:p w14:paraId="12E47C9F">
            <w:pPr>
              <w:jc w:val="center"/>
              <w:rPr>
                <w:rFonts w:ascii="仿宋" w:hAnsi="仿宋" w:eastAsia="仿宋"/>
              </w:rPr>
            </w:pPr>
          </w:p>
        </w:tc>
        <w:tc>
          <w:tcPr>
            <w:tcW w:w="6120" w:type="dxa"/>
            <w:vAlign w:val="center"/>
          </w:tcPr>
          <w:p w14:paraId="628D9CE7">
            <w:pPr>
              <w:rPr>
                <w:rFonts w:ascii="仿宋" w:hAnsi="仿宋" w:eastAsia="仿宋"/>
              </w:rPr>
            </w:pPr>
            <w:r>
              <w:rPr>
                <w:rFonts w:hint="eastAsia" w:ascii="仿宋" w:hAnsi="仿宋" w:eastAsia="仿宋"/>
              </w:rPr>
              <w:t>能查看科室各人员营销情况</w:t>
            </w:r>
          </w:p>
        </w:tc>
      </w:tr>
      <w:tr w14:paraId="1E8B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9AF8CAA">
            <w:pPr>
              <w:rPr>
                <w:rFonts w:ascii="仿宋" w:hAnsi="仿宋" w:eastAsia="仿宋"/>
              </w:rPr>
            </w:pPr>
          </w:p>
        </w:tc>
        <w:tc>
          <w:tcPr>
            <w:tcW w:w="1800" w:type="dxa"/>
            <w:vMerge w:val="continue"/>
            <w:vAlign w:val="center"/>
          </w:tcPr>
          <w:p w14:paraId="3EB42DF3">
            <w:pPr>
              <w:jc w:val="center"/>
              <w:rPr>
                <w:rFonts w:ascii="仿宋" w:hAnsi="仿宋" w:eastAsia="仿宋"/>
              </w:rPr>
            </w:pPr>
          </w:p>
        </w:tc>
        <w:tc>
          <w:tcPr>
            <w:tcW w:w="6120" w:type="dxa"/>
            <w:vAlign w:val="center"/>
          </w:tcPr>
          <w:p w14:paraId="2153951A">
            <w:pPr>
              <w:rPr>
                <w:rFonts w:ascii="仿宋" w:hAnsi="仿宋" w:eastAsia="仿宋"/>
              </w:rPr>
            </w:pPr>
            <w:r>
              <w:rPr>
                <w:rFonts w:hint="eastAsia" w:ascii="仿宋" w:hAnsi="仿宋" w:eastAsia="仿宋"/>
              </w:rPr>
              <w:t>对科室所有开单项目进行统计分析</w:t>
            </w:r>
          </w:p>
        </w:tc>
      </w:tr>
      <w:tr w14:paraId="44CF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736DCD20">
            <w:pPr>
              <w:rPr>
                <w:rFonts w:ascii="仿宋" w:hAnsi="仿宋" w:eastAsia="仿宋"/>
              </w:rPr>
            </w:pPr>
          </w:p>
        </w:tc>
        <w:tc>
          <w:tcPr>
            <w:tcW w:w="1800" w:type="dxa"/>
            <w:vMerge w:val="continue"/>
            <w:vAlign w:val="center"/>
          </w:tcPr>
          <w:p w14:paraId="5663377D">
            <w:pPr>
              <w:jc w:val="center"/>
              <w:rPr>
                <w:rFonts w:ascii="仿宋" w:hAnsi="仿宋" w:eastAsia="仿宋"/>
              </w:rPr>
            </w:pPr>
          </w:p>
        </w:tc>
        <w:tc>
          <w:tcPr>
            <w:tcW w:w="6120" w:type="dxa"/>
            <w:vAlign w:val="center"/>
          </w:tcPr>
          <w:p w14:paraId="3754A1C9">
            <w:pPr>
              <w:rPr>
                <w:rFonts w:ascii="仿宋" w:hAnsi="仿宋" w:eastAsia="仿宋"/>
              </w:rPr>
            </w:pPr>
            <w:r>
              <w:rPr>
                <w:rFonts w:hint="eastAsia" w:ascii="仿宋" w:hAnsi="仿宋" w:eastAsia="仿宋"/>
              </w:rPr>
              <w:t>对科室各成员开单情况进行统计</w:t>
            </w:r>
          </w:p>
        </w:tc>
      </w:tr>
      <w:tr w14:paraId="3367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20ACD510">
            <w:pPr>
              <w:rPr>
                <w:rFonts w:ascii="仿宋" w:hAnsi="仿宋" w:eastAsia="仿宋"/>
              </w:rPr>
            </w:pPr>
            <w:r>
              <w:rPr>
                <w:rFonts w:hint="eastAsia" w:ascii="仿宋" w:hAnsi="仿宋" w:eastAsia="仿宋"/>
              </w:rPr>
              <w:t xml:space="preserve">  6</w:t>
            </w:r>
          </w:p>
        </w:tc>
        <w:tc>
          <w:tcPr>
            <w:tcW w:w="1800" w:type="dxa"/>
            <w:vMerge w:val="restart"/>
            <w:vAlign w:val="center"/>
          </w:tcPr>
          <w:p w14:paraId="217681EF">
            <w:pPr>
              <w:ind w:firstLine="315" w:firstLineChars="150"/>
              <w:rPr>
                <w:rFonts w:ascii="仿宋" w:hAnsi="仿宋" w:eastAsia="仿宋"/>
              </w:rPr>
            </w:pPr>
            <w:r>
              <w:rPr>
                <w:rFonts w:hint="eastAsia" w:ascii="仿宋" w:hAnsi="仿宋" w:eastAsia="仿宋"/>
              </w:rPr>
              <w:t>营销工具</w:t>
            </w:r>
          </w:p>
        </w:tc>
        <w:tc>
          <w:tcPr>
            <w:tcW w:w="6120" w:type="dxa"/>
            <w:vAlign w:val="center"/>
          </w:tcPr>
          <w:p w14:paraId="5A636D5D">
            <w:pPr>
              <w:rPr>
                <w:rFonts w:ascii="仿宋" w:hAnsi="仿宋" w:eastAsia="仿宋"/>
              </w:rPr>
            </w:pPr>
            <w:r>
              <w:rPr>
                <w:rFonts w:hint="eastAsia" w:ascii="仿宋" w:hAnsi="仿宋" w:eastAsia="仿宋"/>
              </w:rPr>
              <w:t>消费积分：消费积分功能支持积分和扣减积分。</w:t>
            </w:r>
          </w:p>
        </w:tc>
      </w:tr>
      <w:tr w14:paraId="7F1F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44AD098D">
            <w:pPr>
              <w:rPr>
                <w:rFonts w:ascii="仿宋" w:hAnsi="仿宋" w:eastAsia="仿宋"/>
              </w:rPr>
            </w:pPr>
          </w:p>
        </w:tc>
        <w:tc>
          <w:tcPr>
            <w:tcW w:w="1800" w:type="dxa"/>
            <w:vMerge w:val="continue"/>
            <w:vAlign w:val="center"/>
          </w:tcPr>
          <w:p w14:paraId="3D544BC0">
            <w:pPr>
              <w:jc w:val="center"/>
              <w:rPr>
                <w:rFonts w:ascii="仿宋" w:hAnsi="仿宋" w:eastAsia="仿宋"/>
              </w:rPr>
            </w:pPr>
          </w:p>
        </w:tc>
        <w:tc>
          <w:tcPr>
            <w:tcW w:w="6120" w:type="dxa"/>
            <w:vAlign w:val="center"/>
          </w:tcPr>
          <w:p w14:paraId="65EAE34F">
            <w:pPr>
              <w:rPr>
                <w:rFonts w:ascii="仿宋" w:hAnsi="仿宋" w:eastAsia="仿宋"/>
              </w:rPr>
            </w:pPr>
            <w:r>
              <w:rPr>
                <w:rFonts w:hint="eastAsia" w:ascii="仿宋" w:hAnsi="仿宋" w:eastAsia="仿宋"/>
              </w:rPr>
              <w:t>营销活动：支持配置营销互动。</w:t>
            </w:r>
          </w:p>
        </w:tc>
      </w:tr>
      <w:tr w14:paraId="19D5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3E77A93A">
            <w:pPr>
              <w:rPr>
                <w:rFonts w:ascii="仿宋" w:hAnsi="仿宋" w:eastAsia="仿宋"/>
              </w:rPr>
            </w:pPr>
          </w:p>
        </w:tc>
        <w:tc>
          <w:tcPr>
            <w:tcW w:w="1800" w:type="dxa"/>
            <w:vMerge w:val="continue"/>
            <w:vAlign w:val="center"/>
          </w:tcPr>
          <w:p w14:paraId="0FA3F1A3">
            <w:pPr>
              <w:jc w:val="center"/>
              <w:rPr>
                <w:rFonts w:ascii="仿宋" w:hAnsi="仿宋" w:eastAsia="仿宋"/>
              </w:rPr>
            </w:pPr>
          </w:p>
        </w:tc>
        <w:tc>
          <w:tcPr>
            <w:tcW w:w="6120" w:type="dxa"/>
            <w:vAlign w:val="center"/>
          </w:tcPr>
          <w:p w14:paraId="1F79AC58">
            <w:pPr>
              <w:rPr>
                <w:rFonts w:ascii="仿宋" w:hAnsi="仿宋" w:eastAsia="仿宋"/>
              </w:rPr>
            </w:pPr>
            <w:r>
              <w:rPr>
                <w:rFonts w:hint="eastAsia" w:ascii="仿宋" w:hAnsi="仿宋" w:eastAsia="仿宋"/>
              </w:rPr>
              <w:t>引流渠道码：设置、分发、统计引流渠道码</w:t>
            </w:r>
          </w:p>
        </w:tc>
      </w:tr>
    </w:tbl>
    <w:p w14:paraId="524C3F0F">
      <w:pPr>
        <w:pStyle w:val="2"/>
        <w:numPr>
          <w:ilvl w:val="0"/>
          <w:numId w:val="1"/>
        </w:numPr>
        <w:ind w:firstLine="0" w:firstLineChars="0"/>
        <w:rPr>
          <w:rFonts w:hint="eastAsia" w:asciiTheme="minorHAnsi" w:hAnsiTheme="minorHAnsi" w:eastAsiaTheme="minorEastAsia" w:cstheme="minorBidi"/>
          <w:b/>
          <w:kern w:val="2"/>
          <w:sz w:val="32"/>
          <w:szCs w:val="20"/>
          <w:lang w:val="en-US" w:eastAsia="zh-CN" w:bidi="ar-SA"/>
        </w:rPr>
      </w:pPr>
      <w:r>
        <w:rPr>
          <w:rFonts w:hint="eastAsia" w:asciiTheme="minorHAnsi" w:hAnsiTheme="minorHAnsi" w:eastAsiaTheme="minorEastAsia" w:cstheme="minorBidi"/>
          <w:b/>
          <w:kern w:val="2"/>
          <w:sz w:val="32"/>
          <w:szCs w:val="20"/>
          <w:lang w:val="en-US" w:eastAsia="zh-CN" w:bidi="ar-SA"/>
        </w:rPr>
        <w:t xml:space="preserve">现场咨询 </w:t>
      </w:r>
    </w:p>
    <w:p w14:paraId="7FBFBE20">
      <w:pPr>
        <w:pStyle w:val="4"/>
        <w:numPr>
          <w:numId w:val="0"/>
        </w:numPr>
        <w:rPr>
          <w:rFonts w:hint="default" w:ascii="仿宋" w:hAnsi="仿宋" w:eastAsia="仿宋" w:cstheme="minorBidi"/>
          <w:color w:val="auto"/>
          <w:kern w:val="2"/>
          <w:sz w:val="21"/>
          <w:szCs w:val="22"/>
          <w:lang w:val="en-US" w:eastAsia="zh-CN" w:bidi="ar-SA"/>
        </w:rPr>
      </w:pPr>
      <w:r>
        <w:rPr>
          <w:rFonts w:hint="eastAsia"/>
          <w:lang w:val="en-US" w:eastAsia="zh-CN"/>
        </w:rPr>
        <w:t xml:space="preserve">   </w:t>
      </w:r>
      <w:r>
        <w:rPr>
          <w:rFonts w:hint="eastAsia" w:ascii="仿宋" w:hAnsi="仿宋" w:eastAsia="仿宋" w:cstheme="minorBidi"/>
          <w:color w:val="auto"/>
          <w:kern w:val="2"/>
          <w:sz w:val="21"/>
          <w:szCs w:val="22"/>
          <w:lang w:val="en-US" w:eastAsia="zh-CN" w:bidi="ar-SA"/>
        </w:rPr>
        <w:t>联系人 钟老师  13905170635</w:t>
      </w:r>
    </w:p>
    <w:p w14:paraId="714EDDE5">
      <w:pPr>
        <w:pStyle w:val="12"/>
        <w:adjustRightInd w:val="0"/>
        <w:snapToGrid w:val="0"/>
        <w:spacing w:line="360" w:lineRule="auto"/>
        <w:ind w:firstLine="0" w:firstLineChars="0"/>
        <w:jc w:val="left"/>
        <w:rPr>
          <w:rFonts w:ascii="仿宋" w:hAnsi="仿宋" w:eastAsia="仿宋" w:cs="Times New Roman"/>
          <w:sz w:val="28"/>
          <w:szCs w:val="28"/>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彩云">
    <w:altName w:val="微软雅黑"/>
    <w:panose1 w:val="0201080004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B0604020202020204"/>
    <w:charset w:val="00"/>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C7562A"/>
    <w:multiLevelType w:val="singleLevel"/>
    <w:tmpl w:val="D8C7562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C3668"/>
    <w:rsid w:val="00266E02"/>
    <w:rsid w:val="003F0ABB"/>
    <w:rsid w:val="0052745E"/>
    <w:rsid w:val="00530B19"/>
    <w:rsid w:val="0057499E"/>
    <w:rsid w:val="00AA0671"/>
    <w:rsid w:val="00B84B8C"/>
    <w:rsid w:val="00B91849"/>
    <w:rsid w:val="00DB5A20"/>
    <w:rsid w:val="00FD5EF3"/>
    <w:rsid w:val="12D400F0"/>
    <w:rsid w:val="24A939C6"/>
    <w:rsid w:val="48A71134"/>
    <w:rsid w:val="5B5E1FC4"/>
    <w:rsid w:val="5D0D2713"/>
    <w:rsid w:val="6FF73D00"/>
    <w:rsid w:val="74643680"/>
    <w:rsid w:val="7BFC3668"/>
    <w:rsid w:val="7E044D77"/>
    <w:rsid w:val="7FDEA744"/>
    <w:rsid w:val="DDBF9453"/>
    <w:rsid w:val="E9E72966"/>
    <w:rsid w:val="FEFFA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heading 3"/>
    <w:basedOn w:val="1"/>
    <w:next w:val="8"/>
    <w:qFormat/>
    <w:uiPriority w:val="0"/>
    <w:pPr>
      <w:keepNext/>
      <w:keepLines/>
      <w:spacing w:before="260" w:after="260" w:line="416" w:lineRule="auto"/>
      <w:outlineLvl w:val="2"/>
    </w:pPr>
    <w:rPr>
      <w:b/>
      <w:sz w:val="32"/>
      <w:szCs w:val="20"/>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tabs>
        <w:tab w:val="left" w:pos="2020"/>
        <w:tab w:val="center" w:pos="4535"/>
      </w:tabs>
      <w:spacing w:after="120"/>
      <w:ind w:firstLine="420" w:firstLineChars="100"/>
    </w:pPr>
    <w:rPr>
      <w:sz w:val="21"/>
    </w:rPr>
  </w:style>
  <w:style w:type="paragraph" w:styleId="3">
    <w:name w:val="Body Text"/>
    <w:basedOn w:val="1"/>
    <w:next w:val="1"/>
    <w:qFormat/>
    <w:uiPriority w:val="0"/>
    <w:pPr>
      <w:tabs>
        <w:tab w:val="left" w:pos="2020"/>
        <w:tab w:val="center" w:pos="4535"/>
      </w:tabs>
      <w:spacing w:line="500" w:lineRule="exact"/>
      <w:outlineLvl w:val="0"/>
    </w:pPr>
    <w:rPr>
      <w:rFonts w:ascii="华文彩云" w:hAnsi="宋体" w:eastAsia="华文彩云"/>
      <w:bCs/>
      <w:color w:val="000000"/>
      <w:sz w:val="28"/>
    </w:rPr>
  </w:style>
  <w:style w:type="paragraph" w:styleId="4">
    <w:name w:val="Body Text First Indent 2"/>
    <w:basedOn w:val="5"/>
    <w:qFormat/>
    <w:uiPriority w:val="0"/>
    <w:pPr>
      <w:widowControl/>
      <w:spacing w:after="120"/>
      <w:ind w:left="420" w:leftChars="200" w:firstLine="420" w:firstLineChars="200"/>
    </w:pPr>
    <w:rPr>
      <w:rFonts w:ascii="仿宋_GB2312" w:eastAsia="仿宋_GB2312"/>
      <w:color w:val="FF6600"/>
      <w:sz w:val="21"/>
    </w:rPr>
  </w:style>
  <w:style w:type="paragraph" w:styleId="5">
    <w:name w:val="Body Text Indent"/>
    <w:basedOn w:val="1"/>
    <w:next w:val="6"/>
    <w:qFormat/>
    <w:uiPriority w:val="0"/>
    <w:pPr>
      <w:ind w:firstLine="630"/>
    </w:pPr>
    <w:rPr>
      <w:rFonts w:ascii="楷体_GB2312" w:eastAsia="楷体_GB2312"/>
      <w:sz w:val="32"/>
      <w:szCs w:val="20"/>
    </w:rPr>
  </w:style>
  <w:style w:type="paragraph" w:styleId="6">
    <w:name w:val="envelope return"/>
    <w:basedOn w:val="1"/>
    <w:qFormat/>
    <w:uiPriority w:val="0"/>
    <w:pPr>
      <w:snapToGrid w:val="0"/>
    </w:pPr>
    <w:rPr>
      <w:rFonts w:ascii="Arial" w:hAnsi="Arial" w:eastAsia="宋体" w:cs="Times New Roman"/>
    </w:rPr>
  </w:style>
  <w:style w:type="paragraph" w:styleId="8">
    <w:name w:val="Normal Indent"/>
    <w:basedOn w:val="1"/>
    <w:qFormat/>
    <w:uiPriority w:val="0"/>
    <w:pPr>
      <w:ind w:firstLine="420"/>
    </w:pPr>
    <w:rPr>
      <w:szCs w:val="20"/>
    </w:rPr>
  </w:style>
  <w:style w:type="paragraph" w:styleId="9">
    <w:name w:val="Plain Text"/>
    <w:basedOn w:val="1"/>
    <w:qFormat/>
    <w:uiPriority w:val="99"/>
    <w:rPr>
      <w:rFonts w:ascii="宋体" w:hAnsi="Courier New"/>
      <w:szCs w:val="20"/>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1606</Words>
  <Characters>1618</Characters>
  <Lines>12</Lines>
  <Paragraphs>3</Paragraphs>
  <TotalTime>31</TotalTime>
  <ScaleCrop>false</ScaleCrop>
  <LinksUpToDate>false</LinksUpToDate>
  <CharactersWithSpaces>1621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2024-02-28T11:51:00Z</dcterms:created>
  <dc:creator>Echo</dc:creator>
  <cp:lastModifiedBy>施吉利</cp:lastModifiedBy>
  <dcterms:modified xsi:type="dcterms:W3CDTF">2025-04-04T08:59:35Z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402406B621BA4807B8EB5CD7C42B2213_13</vt:lpwstr>
  </property>
  <property fmtid="{D5CDD505-2E9C-101B-9397-08002B2CF9AE}" pid="4" name="KSOTemplateDocerSaveRecord">
    <vt:lpwstr>eyJoZGlkIjoiNzk0ZTk0MjFlZTQ0YWFhNmNhNjViMjQ0ZmE4NGIwOGMiLCJ1c2VySWQiOiIxNDU4NzEzMTYxIn0=</vt:lpwstr>
  </property>
</Properties>
</file>