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321F0">
      <w:pPr>
        <w:spacing w:line="960" w:lineRule="auto"/>
        <w:jc w:val="center"/>
        <w:rPr>
          <w:rFonts w:ascii="仿宋" w:hAnsi="仿宋" w:eastAsia="仿宋" w:cs="Times New Roman"/>
          <w:b/>
          <w:bCs/>
          <w:sz w:val="36"/>
          <w:szCs w:val="36"/>
        </w:rPr>
      </w:pPr>
      <w:r>
        <w:rPr>
          <w:rFonts w:hint="eastAsia" w:ascii="仿宋" w:hAnsi="仿宋" w:eastAsia="仿宋" w:cs="Times New Roman"/>
          <w:b/>
          <w:bCs/>
          <w:sz w:val="36"/>
          <w:szCs w:val="36"/>
          <w:lang w:val="en-US" w:eastAsia="zh-CN"/>
        </w:rPr>
        <w:t>合同管理</w:t>
      </w:r>
      <w:r>
        <w:rPr>
          <w:rFonts w:hint="eastAsia" w:ascii="仿宋" w:hAnsi="仿宋" w:eastAsia="仿宋" w:cs="Times New Roman"/>
          <w:b/>
          <w:bCs/>
          <w:sz w:val="36"/>
          <w:szCs w:val="36"/>
        </w:rPr>
        <w:t>系统项目建设需求</w:t>
      </w:r>
    </w:p>
    <w:p w14:paraId="4A0A41E2">
      <w:pPr>
        <w:pStyle w:val="7"/>
        <w:adjustRightInd w:val="0"/>
        <w:snapToGrid w:val="0"/>
        <w:spacing w:before="0" w:after="0" w:line="360" w:lineRule="auto"/>
        <w:ind w:firstLine="482" w:firstLineChars="200"/>
        <w:rPr>
          <w:sz w:val="24"/>
          <w:szCs w:val="24"/>
          <w:highlight w:val="none"/>
        </w:rPr>
      </w:pPr>
      <w:bookmarkStart w:id="0" w:name="_Toc12887271"/>
      <w:r>
        <w:rPr>
          <w:rFonts w:hint="eastAsia"/>
          <w:sz w:val="24"/>
          <w:szCs w:val="24"/>
          <w:highlight w:val="none"/>
        </w:rPr>
        <w:t>一、具体技术及服务要求</w:t>
      </w:r>
      <w:bookmarkEnd w:id="0"/>
    </w:p>
    <w:p w14:paraId="52A7F118">
      <w:pPr>
        <w:spacing w:line="360" w:lineRule="auto"/>
        <w:ind w:firstLine="482" w:firstLineChars="200"/>
        <w:rPr>
          <w:rFonts w:ascii="宋体" w:hAnsi="宋体"/>
          <w:b/>
          <w:sz w:val="24"/>
          <w:highlight w:val="none"/>
        </w:rPr>
      </w:pPr>
      <w:r>
        <w:rPr>
          <w:rFonts w:hint="eastAsia" w:ascii="宋体" w:hAnsi="宋体"/>
          <w:b/>
          <w:sz w:val="24"/>
          <w:highlight w:val="none"/>
        </w:rPr>
        <w:t>1.</w:t>
      </w:r>
      <w:r>
        <w:rPr>
          <w:rFonts w:hint="eastAsia" w:ascii="仿宋" w:hAnsi="仿宋" w:eastAsia="仿宋"/>
          <w:sz w:val="28"/>
          <w:szCs w:val="28"/>
          <w:highlight w:val="none"/>
        </w:rPr>
        <w:t>搭建合同管理信息化平台，实现对合同全生命周期的管理，通过该系统完成从合同模板、合同订立、合同审批、合同履行、合同终结、合同归档的全过程管理。</w:t>
      </w:r>
    </w:p>
    <w:p w14:paraId="2BEF7CE2">
      <w:pPr>
        <w:ind w:firstLine="482" w:firstLineChars="200"/>
        <w:rPr>
          <w:rFonts w:hint="eastAsia" w:ascii="仿宋" w:hAnsi="仿宋" w:eastAsia="仿宋"/>
          <w:sz w:val="28"/>
          <w:szCs w:val="28"/>
          <w:highlight w:val="none"/>
        </w:rPr>
      </w:pPr>
      <w:r>
        <w:rPr>
          <w:rFonts w:hint="eastAsia" w:ascii="宋体" w:hAnsi="宋体"/>
          <w:b/>
          <w:sz w:val="24"/>
          <w:highlight w:val="none"/>
        </w:rPr>
        <w:t>2.</w:t>
      </w:r>
      <w:r>
        <w:rPr>
          <w:rFonts w:hint="eastAsia" w:ascii="仿宋" w:hAnsi="仿宋" w:eastAsia="仿宋"/>
          <w:sz w:val="28"/>
          <w:szCs w:val="28"/>
          <w:highlight w:val="none"/>
        </w:rPr>
        <w:t>系统具体功能需求：</w:t>
      </w:r>
    </w:p>
    <w:p w14:paraId="4EF9C351">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2.1组织管理</w:t>
      </w:r>
    </w:p>
    <w:p w14:paraId="53C537E4">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（1）系统能够支持医院多层级的管理模式，并能够随着医院管理架构的调整而调整；支持建立自定义多层级合同管理流程、多层级权限审批管理；</w:t>
      </w:r>
    </w:p>
    <w:p w14:paraId="05FA364C">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2.2合同建立</w:t>
      </w:r>
    </w:p>
    <w:p w14:paraId="6505F20C">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1）合同建立包括合同起草、合同审批。合同创建时，根据合同分类不同带出不同的合同要素，合同模板。左边为打开的WORD模板，右边为合同要数字段，当填写合同要数时，点击保存按钮，数据会自动保存到WORD中。合同创建完成后，发起审批流程，审批定稿后发布合同</w:t>
      </w:r>
    </w:p>
    <w:p w14:paraId="7604B370">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2）合同审批主要由相关部门在系统中进行合同流程审批，使得合同审批流程规范化、标准化。合同审批定稿后，系统对合同文本进行格式转换，并添加底层水印，根据要求打印合同。合同经双方签署盖章后，由业务部门进行合同发布，合同转至履行环节；</w:t>
      </w:r>
    </w:p>
    <w:p w14:paraId="1F5EEC24">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（3）同时支持合同会签，能够按照会签模板打印合同会签单；</w:t>
      </w:r>
    </w:p>
    <w:p w14:paraId="67CAC8B2">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（4）支持合同补录；对已经签订的未在合同系统中维护的合同，对合同进行补录。无需会签流程；</w:t>
      </w:r>
    </w:p>
    <w:p w14:paraId="153EF7B0">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（5）支持合同变更，当合同发生变更时，需要创建新的变更合同或补充协议，变更合同需登记变更的原因和影响，并将变更依据作为附件导入系统。变更合同需要走审批流程。；</w:t>
      </w:r>
    </w:p>
    <w:p w14:paraId="350F12CE">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6）支持合同状态管理，功能处理合同的结案、冻结、解冻、生效。冻结、结案的合同不允许对其进行任何操作，如编辑、删除、流程的提交和撤回，也不允许对其进行合同后续的一系列执行操作。冻结后合同可以解冻，结案后合同无法启用。</w:t>
      </w:r>
    </w:p>
    <w:p w14:paraId="003DDD64">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合同结案是指合同关系建立后，因一定法律事实产生，合同权利义务关系消亡，合同终止后，为实现合同全过程的闭环管理而设置的一道管理程序，合同终结包括合同正常终结或者合同异常终结。本功能处理合同异常终结。</w:t>
      </w:r>
    </w:p>
    <w:p w14:paraId="3F662D09">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（7）支持合同归档，合同已审批结束，业务部门还未将纸质文档提交的，可进场资料催交提醒。支持批量上传合同相关电子资料，提交完成后，标记已归档。</w:t>
      </w:r>
    </w:p>
    <w:p w14:paraId="5E02357A">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（8）在合同要素进行编辑的同时，能够实时看见编辑的效果。</w:t>
      </w:r>
    </w:p>
    <w:p w14:paraId="697E1663">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2.3合同执行控制</w:t>
      </w:r>
    </w:p>
    <w:p w14:paraId="316F6227">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1）合同执行主要解决合同的资金管理，为合同细化了何时应该结算账款，无论是对收款还是付款均有重要意义，可以及时安排资金调度及收回款项，既保证按时守信，又合理充分利用资金，降低执行风险。主要包含合同收付款计划、合同开票信息、合同付款申请单等功能；</w:t>
      </w:r>
    </w:p>
    <w:p w14:paraId="2AAE0874">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（2）支持合同首付款计划功能；合同收付款计划功能主要在合同签订发布后能够自动生成相应的月度合同收付款计划；</w:t>
      </w:r>
    </w:p>
    <w:p w14:paraId="7227693D">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（3）支持合同开票信息功能，合同开票信息功能主要用于在合同执行过程中，根据合同收付款情况自动核销已收或已开发票；</w:t>
      </w:r>
    </w:p>
    <w:p w14:paraId="532200EA">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（4）支持合同政策；合同控制政策主要用于对执行中的采购合同进行付款控制，分为按合同总额控制、按合同付款计划控制、按发票金额控制；</w:t>
      </w:r>
    </w:p>
    <w:p w14:paraId="3E9BA79C">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（5）支持合同付款申请，合同履行过程中，合同达到付款条件后，可由业务部门发起合同付款流程。业务部门在合同付款界面生成合同付款申请单，走审批流程进行付款；</w:t>
      </w:r>
    </w:p>
    <w:p w14:paraId="15F280D9">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（6）支持合同履行提醒；在合同履行过程中可以设置合同任务提醒，如合同付款提醒，合同履行截止日到期提醒、合同质保金到期提醒等；</w:t>
      </w:r>
    </w:p>
    <w:p w14:paraId="099B3324">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（7）在合同付款时，能够对上传的发票进行验证，由系统自动检验发票的真假及发票是否重复报销。</w:t>
      </w:r>
    </w:p>
    <w:p w14:paraId="62304E72">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（8）能够进行合同收款的录入。</w:t>
      </w:r>
    </w:p>
    <w:p w14:paraId="4FD8E4AD">
      <w:pPr>
        <w:spacing w:line="360" w:lineRule="auto"/>
        <w:ind w:firstLine="560" w:firstLineChars="200"/>
        <w:jc w:val="left"/>
        <w:rPr>
          <w:rFonts w:hint="eastAsia" w:ascii="仿宋" w:hAnsi="仿宋" w:eastAsia="仿宋"/>
          <w:sz w:val="28"/>
          <w:szCs w:val="28"/>
          <w:highlight w:val="none"/>
        </w:rPr>
      </w:pPr>
      <w:r>
        <w:rPr>
          <w:rFonts w:hint="eastAsia" w:ascii="仿宋" w:hAnsi="仿宋" w:eastAsia="仿宋"/>
          <w:sz w:val="28"/>
          <w:szCs w:val="28"/>
          <w:highlight w:val="none"/>
        </w:rPr>
        <w:t>（9）支持和全面预算管理系统进行无缝对接。</w:t>
      </w:r>
    </w:p>
    <w:p w14:paraId="7ACB8CD6">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2.4合同分析</w:t>
      </w:r>
    </w:p>
    <w:p w14:paraId="113AF626">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 xml:space="preserve"> （1）支持合同台账查询，在合同履行过程中定期对合同台账进行检查，对遗漏的信息进行补充，并根据合同台账监督合同履约情况，发现存在风险及时提示。所有合同均建立管理台账，用户可通过查询条件进行查询：合同编号模糊检索、商品明细检索、合同计划信息、合同开票情况、合同收付款情况、日回款情况查询等；</w:t>
      </w:r>
    </w:p>
    <w:p w14:paraId="16279A34">
      <w:pPr>
        <w:ind w:firstLine="560" w:firstLineChars="200"/>
        <w:rPr>
          <w:rFonts w:hint="eastAsia" w:ascii="仿宋" w:hAnsi="仿宋" w:eastAsia="仿宋"/>
          <w:sz w:val="28"/>
          <w:szCs w:val="28"/>
          <w:highlight w:val="none"/>
        </w:rPr>
      </w:pPr>
      <w:r>
        <w:rPr>
          <w:rFonts w:hint="eastAsia" w:ascii="仿宋" w:hAnsi="仿宋" w:eastAsia="仿宋"/>
          <w:sz w:val="28"/>
          <w:szCs w:val="28"/>
          <w:highlight w:val="none"/>
        </w:rPr>
        <w:t xml:space="preserve"> （2）在合同履行过程中从不同角度对系统中的合同数据进行统计分析，辅助经营决策，多样化的统计方式，自定义统计条件，并将统计结果输出。</w:t>
      </w:r>
    </w:p>
    <w:p w14:paraId="301AB47B">
      <w:pPr>
        <w:jc w:val="left"/>
        <w:rPr>
          <w:rFonts w:ascii="仿宋" w:hAnsi="仿宋" w:eastAsia="仿宋"/>
          <w:sz w:val="28"/>
          <w:szCs w:val="28"/>
        </w:rPr>
      </w:pPr>
    </w:p>
    <w:p w14:paraId="107A7986">
      <w:pPr>
        <w:adjustRightInd w:val="0"/>
        <w:snapToGrid w:val="0"/>
        <w:spacing w:line="360" w:lineRule="auto"/>
        <w:jc w:val="left"/>
        <w:rPr>
          <w:rFonts w:hint="eastAsia" w:ascii="仿宋" w:hAnsi="仿宋" w:eastAsia="仿宋" w:cs="Times New Roman"/>
          <w:b/>
          <w:sz w:val="28"/>
          <w:szCs w:val="28"/>
          <w:lang w:val="en-US" w:eastAsia="zh-CN"/>
        </w:rPr>
      </w:pPr>
      <w:r>
        <w:rPr>
          <w:rFonts w:hint="eastAsia" w:ascii="仿宋" w:hAnsi="仿宋" w:eastAsia="仿宋" w:cs="Times New Roman"/>
          <w:b/>
          <w:sz w:val="28"/>
          <w:szCs w:val="28"/>
          <w:lang w:val="en-US" w:eastAsia="zh-CN"/>
        </w:rPr>
        <w:t>二</w:t>
      </w:r>
      <w:r>
        <w:rPr>
          <w:rFonts w:hint="eastAsia" w:ascii="仿宋" w:hAnsi="仿宋" w:eastAsia="仿宋" w:cs="Times New Roman"/>
          <w:b/>
          <w:sz w:val="28"/>
          <w:szCs w:val="28"/>
        </w:rPr>
        <w:t>、</w:t>
      </w:r>
      <w:r>
        <w:rPr>
          <w:rFonts w:hint="eastAsia" w:ascii="仿宋" w:hAnsi="仿宋" w:eastAsia="仿宋" w:cs="Times New Roman"/>
          <w:b/>
          <w:sz w:val="28"/>
          <w:szCs w:val="28"/>
          <w:lang w:val="en-US" w:eastAsia="zh-CN"/>
        </w:rPr>
        <w:t>系统建设涉及的功能</w:t>
      </w:r>
    </w:p>
    <w:tbl>
      <w:tblPr>
        <w:tblStyle w:val="10"/>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8"/>
        <w:gridCol w:w="2268"/>
        <w:gridCol w:w="3589"/>
        <w:gridCol w:w="1531"/>
      </w:tblGrid>
      <w:tr w14:paraId="2889C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1668" w:type="dxa"/>
            <w:shd w:val="clear" w:color="auto" w:fill="auto"/>
            <w:noWrap w:val="0"/>
            <w:vAlign w:val="center"/>
          </w:tcPr>
          <w:p w14:paraId="54197EAE">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功能模块</w:t>
            </w:r>
          </w:p>
        </w:tc>
        <w:tc>
          <w:tcPr>
            <w:tcW w:w="2268" w:type="dxa"/>
            <w:shd w:val="clear" w:color="auto" w:fill="auto"/>
            <w:noWrap w:val="0"/>
            <w:vAlign w:val="center"/>
          </w:tcPr>
          <w:p w14:paraId="239694EF">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具体功能</w:t>
            </w:r>
          </w:p>
        </w:tc>
        <w:tc>
          <w:tcPr>
            <w:tcW w:w="3589" w:type="dxa"/>
            <w:shd w:val="clear" w:color="auto" w:fill="auto"/>
            <w:noWrap w:val="0"/>
            <w:vAlign w:val="center"/>
          </w:tcPr>
          <w:p w14:paraId="489FF9B1">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功能说明</w:t>
            </w:r>
          </w:p>
        </w:tc>
        <w:tc>
          <w:tcPr>
            <w:tcW w:w="1531" w:type="dxa"/>
            <w:shd w:val="clear" w:color="auto" w:fill="auto"/>
            <w:noWrap w:val="0"/>
            <w:vAlign w:val="center"/>
          </w:tcPr>
          <w:p w14:paraId="5DDD4AC2">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备注</w:t>
            </w:r>
          </w:p>
        </w:tc>
      </w:tr>
      <w:tr w14:paraId="60487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668" w:type="dxa"/>
            <w:vMerge w:val="restart"/>
            <w:shd w:val="clear" w:color="auto" w:fill="auto"/>
            <w:noWrap w:val="0"/>
            <w:vAlign w:val="center"/>
          </w:tcPr>
          <w:p w14:paraId="58B0A966">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合同准备</w:t>
            </w:r>
          </w:p>
        </w:tc>
        <w:tc>
          <w:tcPr>
            <w:tcW w:w="2268" w:type="dxa"/>
            <w:shd w:val="clear" w:color="auto" w:fill="auto"/>
            <w:noWrap w:val="0"/>
            <w:vAlign w:val="center"/>
          </w:tcPr>
          <w:p w14:paraId="048E67E3">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往来单位</w:t>
            </w:r>
          </w:p>
        </w:tc>
        <w:tc>
          <w:tcPr>
            <w:tcW w:w="3589" w:type="dxa"/>
            <w:shd w:val="clear" w:color="auto" w:fill="auto"/>
            <w:noWrap w:val="0"/>
            <w:vAlign w:val="center"/>
          </w:tcPr>
          <w:p w14:paraId="465C98E7">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用于增加供应商名称等信息</w:t>
            </w:r>
          </w:p>
        </w:tc>
        <w:tc>
          <w:tcPr>
            <w:tcW w:w="1531" w:type="dxa"/>
            <w:shd w:val="clear" w:color="auto" w:fill="auto"/>
            <w:noWrap w:val="0"/>
            <w:vAlign w:val="center"/>
          </w:tcPr>
          <w:p w14:paraId="0FE91246">
            <w:pPr>
              <w:jc w:val="center"/>
              <w:rPr>
                <w:rFonts w:hint="eastAsia" w:ascii="仿宋_GB2312" w:hAnsi="仿宋_GB2312" w:eastAsia="仿宋_GB2312" w:cs="仿宋_GB2312"/>
                <w:sz w:val="24"/>
                <w:szCs w:val="28"/>
              </w:rPr>
            </w:pPr>
          </w:p>
        </w:tc>
      </w:tr>
      <w:tr w14:paraId="0019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2B96FC75">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7668B6B7">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合同分类</w:t>
            </w:r>
          </w:p>
        </w:tc>
        <w:tc>
          <w:tcPr>
            <w:tcW w:w="3589" w:type="dxa"/>
            <w:shd w:val="clear" w:color="auto" w:fill="auto"/>
            <w:noWrap w:val="0"/>
            <w:vAlign w:val="center"/>
          </w:tcPr>
          <w:p w14:paraId="3CF2AB04">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用于建立合同的分类，以便于后期进行合同分类管理</w:t>
            </w:r>
          </w:p>
        </w:tc>
        <w:tc>
          <w:tcPr>
            <w:tcW w:w="1531" w:type="dxa"/>
            <w:shd w:val="clear" w:color="auto" w:fill="auto"/>
            <w:noWrap w:val="0"/>
            <w:vAlign w:val="center"/>
          </w:tcPr>
          <w:p w14:paraId="7B03DBA4">
            <w:pPr>
              <w:jc w:val="center"/>
              <w:rPr>
                <w:rFonts w:hint="eastAsia" w:ascii="仿宋_GB2312" w:hAnsi="仿宋_GB2312" w:eastAsia="仿宋_GB2312" w:cs="仿宋_GB2312"/>
                <w:sz w:val="24"/>
                <w:szCs w:val="28"/>
              </w:rPr>
            </w:pPr>
          </w:p>
        </w:tc>
      </w:tr>
      <w:tr w14:paraId="0F8B0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15CBD2B9">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01827E05">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合同模板</w:t>
            </w:r>
          </w:p>
        </w:tc>
        <w:tc>
          <w:tcPr>
            <w:tcW w:w="3589" w:type="dxa"/>
            <w:shd w:val="clear" w:color="auto" w:fill="auto"/>
            <w:noWrap w:val="0"/>
            <w:vAlign w:val="center"/>
          </w:tcPr>
          <w:p w14:paraId="23973983">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用于新增合同模板，以便于在新增合同时可以进行调用</w:t>
            </w:r>
          </w:p>
        </w:tc>
        <w:tc>
          <w:tcPr>
            <w:tcW w:w="1531" w:type="dxa"/>
            <w:shd w:val="clear" w:color="auto" w:fill="auto"/>
            <w:noWrap w:val="0"/>
            <w:vAlign w:val="center"/>
          </w:tcPr>
          <w:p w14:paraId="09B46FEC">
            <w:pPr>
              <w:jc w:val="center"/>
              <w:rPr>
                <w:rFonts w:hint="eastAsia" w:ascii="仿宋_GB2312" w:hAnsi="仿宋_GB2312" w:eastAsia="仿宋_GB2312" w:cs="仿宋_GB2312"/>
                <w:sz w:val="24"/>
                <w:szCs w:val="28"/>
              </w:rPr>
            </w:pPr>
          </w:p>
        </w:tc>
      </w:tr>
      <w:tr w14:paraId="2D5F7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4DE8A1E8">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0CBB034B">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付款方式文字模板</w:t>
            </w:r>
          </w:p>
        </w:tc>
        <w:tc>
          <w:tcPr>
            <w:tcW w:w="3589" w:type="dxa"/>
            <w:shd w:val="clear" w:color="auto" w:fill="auto"/>
            <w:noWrap w:val="0"/>
            <w:vAlign w:val="center"/>
          </w:tcPr>
          <w:p w14:paraId="39C21E7F">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用于在合同模板中进行维护付款方式模板</w:t>
            </w:r>
          </w:p>
        </w:tc>
        <w:tc>
          <w:tcPr>
            <w:tcW w:w="1531" w:type="dxa"/>
            <w:shd w:val="clear" w:color="auto" w:fill="auto"/>
            <w:noWrap w:val="0"/>
            <w:vAlign w:val="center"/>
          </w:tcPr>
          <w:p w14:paraId="6B9FAA02">
            <w:pPr>
              <w:jc w:val="center"/>
              <w:rPr>
                <w:rFonts w:hint="eastAsia" w:ascii="仿宋_GB2312" w:hAnsi="仿宋_GB2312" w:eastAsia="仿宋_GB2312" w:cs="仿宋_GB2312"/>
                <w:sz w:val="24"/>
                <w:szCs w:val="28"/>
              </w:rPr>
            </w:pPr>
          </w:p>
        </w:tc>
      </w:tr>
      <w:tr w14:paraId="51B6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668" w:type="dxa"/>
            <w:vMerge w:val="restart"/>
            <w:shd w:val="clear" w:color="auto" w:fill="auto"/>
            <w:noWrap w:val="0"/>
            <w:vAlign w:val="center"/>
          </w:tcPr>
          <w:p w14:paraId="0B61D581">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合同管理</w:t>
            </w:r>
          </w:p>
        </w:tc>
        <w:tc>
          <w:tcPr>
            <w:tcW w:w="2268" w:type="dxa"/>
            <w:shd w:val="clear" w:color="auto" w:fill="auto"/>
            <w:noWrap w:val="0"/>
            <w:vAlign w:val="center"/>
          </w:tcPr>
          <w:p w14:paraId="61462B1C">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合同创建</w:t>
            </w:r>
          </w:p>
        </w:tc>
        <w:tc>
          <w:tcPr>
            <w:tcW w:w="3589" w:type="dxa"/>
            <w:shd w:val="clear" w:color="auto" w:fill="auto"/>
            <w:noWrap w:val="0"/>
            <w:vAlign w:val="center"/>
          </w:tcPr>
          <w:p w14:paraId="486BB0F3">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用于新增合同的起草及进行流程审批</w:t>
            </w:r>
          </w:p>
        </w:tc>
        <w:tc>
          <w:tcPr>
            <w:tcW w:w="1531" w:type="dxa"/>
            <w:shd w:val="clear" w:color="auto" w:fill="auto"/>
            <w:noWrap w:val="0"/>
            <w:vAlign w:val="center"/>
          </w:tcPr>
          <w:p w14:paraId="741E4DD8">
            <w:pPr>
              <w:jc w:val="center"/>
              <w:rPr>
                <w:rFonts w:hint="eastAsia" w:ascii="仿宋_GB2312" w:hAnsi="仿宋_GB2312" w:eastAsia="仿宋_GB2312" w:cs="仿宋_GB2312"/>
                <w:sz w:val="24"/>
                <w:szCs w:val="28"/>
              </w:rPr>
            </w:pPr>
          </w:p>
        </w:tc>
      </w:tr>
      <w:tr w14:paraId="1B70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402677BB">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2940D531">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合同补录</w:t>
            </w:r>
          </w:p>
        </w:tc>
        <w:tc>
          <w:tcPr>
            <w:tcW w:w="3589" w:type="dxa"/>
            <w:shd w:val="clear" w:color="auto" w:fill="auto"/>
            <w:noWrap w:val="0"/>
            <w:vAlign w:val="center"/>
          </w:tcPr>
          <w:p w14:paraId="4C539637">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用于对以往的合同补录进系统中</w:t>
            </w:r>
          </w:p>
        </w:tc>
        <w:tc>
          <w:tcPr>
            <w:tcW w:w="1531" w:type="dxa"/>
            <w:shd w:val="clear" w:color="auto" w:fill="auto"/>
            <w:noWrap w:val="0"/>
            <w:vAlign w:val="center"/>
          </w:tcPr>
          <w:p w14:paraId="54E81D7B">
            <w:pPr>
              <w:jc w:val="center"/>
              <w:rPr>
                <w:rFonts w:hint="eastAsia" w:ascii="仿宋_GB2312" w:hAnsi="仿宋_GB2312" w:eastAsia="仿宋_GB2312" w:cs="仿宋_GB2312"/>
                <w:sz w:val="24"/>
                <w:szCs w:val="28"/>
              </w:rPr>
            </w:pPr>
          </w:p>
        </w:tc>
      </w:tr>
      <w:tr w14:paraId="30C5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05A65503">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52761468">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合同变更</w:t>
            </w:r>
          </w:p>
        </w:tc>
        <w:tc>
          <w:tcPr>
            <w:tcW w:w="3589" w:type="dxa"/>
            <w:shd w:val="clear" w:color="auto" w:fill="auto"/>
            <w:noWrap w:val="0"/>
            <w:vAlign w:val="center"/>
          </w:tcPr>
          <w:p w14:paraId="4FD498AD">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用于对合同进行变更</w:t>
            </w:r>
          </w:p>
        </w:tc>
        <w:tc>
          <w:tcPr>
            <w:tcW w:w="1531" w:type="dxa"/>
            <w:shd w:val="clear" w:color="auto" w:fill="auto"/>
            <w:noWrap w:val="0"/>
            <w:vAlign w:val="center"/>
          </w:tcPr>
          <w:p w14:paraId="203915C5">
            <w:pPr>
              <w:jc w:val="center"/>
              <w:rPr>
                <w:rFonts w:hint="eastAsia" w:ascii="仿宋_GB2312" w:hAnsi="仿宋_GB2312" w:eastAsia="仿宋_GB2312" w:cs="仿宋_GB2312"/>
                <w:sz w:val="24"/>
                <w:szCs w:val="28"/>
              </w:rPr>
            </w:pPr>
          </w:p>
        </w:tc>
      </w:tr>
      <w:tr w14:paraId="72ECE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705E66A9">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0F8D61F7">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合同归档</w:t>
            </w:r>
          </w:p>
        </w:tc>
        <w:tc>
          <w:tcPr>
            <w:tcW w:w="3589" w:type="dxa"/>
            <w:shd w:val="clear" w:color="auto" w:fill="auto"/>
            <w:noWrap w:val="0"/>
            <w:vAlign w:val="center"/>
          </w:tcPr>
          <w:p w14:paraId="4DA3D607">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在合同签订盖章后进行合同的归档管理</w:t>
            </w:r>
          </w:p>
        </w:tc>
        <w:tc>
          <w:tcPr>
            <w:tcW w:w="1531" w:type="dxa"/>
            <w:shd w:val="clear" w:color="auto" w:fill="auto"/>
            <w:noWrap w:val="0"/>
            <w:vAlign w:val="center"/>
          </w:tcPr>
          <w:p w14:paraId="1A390D9B">
            <w:pPr>
              <w:jc w:val="center"/>
              <w:rPr>
                <w:rFonts w:hint="eastAsia" w:ascii="仿宋_GB2312" w:hAnsi="仿宋_GB2312" w:eastAsia="仿宋_GB2312" w:cs="仿宋_GB2312"/>
                <w:sz w:val="24"/>
                <w:szCs w:val="28"/>
              </w:rPr>
            </w:pPr>
          </w:p>
        </w:tc>
      </w:tr>
      <w:tr w14:paraId="272B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43782AFB">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2C8C9FA8">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合同状态管理</w:t>
            </w:r>
          </w:p>
        </w:tc>
        <w:tc>
          <w:tcPr>
            <w:tcW w:w="3589" w:type="dxa"/>
            <w:shd w:val="clear" w:color="auto" w:fill="auto"/>
            <w:noWrap w:val="0"/>
            <w:vAlign w:val="center"/>
          </w:tcPr>
          <w:p w14:paraId="6BA2D320">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用于合同的状态管理，如冻结和解冻等</w:t>
            </w:r>
          </w:p>
        </w:tc>
        <w:tc>
          <w:tcPr>
            <w:tcW w:w="1531" w:type="dxa"/>
            <w:shd w:val="clear" w:color="auto" w:fill="auto"/>
            <w:noWrap w:val="0"/>
            <w:vAlign w:val="center"/>
          </w:tcPr>
          <w:p w14:paraId="36AC9E2C">
            <w:pPr>
              <w:jc w:val="center"/>
              <w:rPr>
                <w:rFonts w:hint="eastAsia" w:ascii="仿宋_GB2312" w:hAnsi="仿宋_GB2312" w:eastAsia="仿宋_GB2312" w:cs="仿宋_GB2312"/>
                <w:sz w:val="24"/>
                <w:szCs w:val="28"/>
              </w:rPr>
            </w:pPr>
          </w:p>
        </w:tc>
      </w:tr>
      <w:tr w14:paraId="255F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7DADCFF4">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73F6B905">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合同付款计划</w:t>
            </w:r>
          </w:p>
        </w:tc>
        <w:tc>
          <w:tcPr>
            <w:tcW w:w="3589" w:type="dxa"/>
            <w:shd w:val="clear" w:color="auto" w:fill="auto"/>
            <w:noWrap w:val="0"/>
            <w:vAlign w:val="center"/>
          </w:tcPr>
          <w:p w14:paraId="0D607F06">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用于维护合同的付款计划</w:t>
            </w:r>
          </w:p>
        </w:tc>
        <w:tc>
          <w:tcPr>
            <w:tcW w:w="1531" w:type="dxa"/>
            <w:shd w:val="clear" w:color="auto" w:fill="auto"/>
            <w:noWrap w:val="0"/>
            <w:vAlign w:val="center"/>
          </w:tcPr>
          <w:p w14:paraId="70A8D328">
            <w:pPr>
              <w:jc w:val="center"/>
              <w:rPr>
                <w:rFonts w:hint="eastAsia" w:ascii="仿宋_GB2312" w:hAnsi="仿宋_GB2312" w:eastAsia="仿宋_GB2312" w:cs="仿宋_GB2312"/>
                <w:sz w:val="24"/>
                <w:szCs w:val="28"/>
              </w:rPr>
            </w:pPr>
          </w:p>
        </w:tc>
      </w:tr>
      <w:tr w14:paraId="31226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5BFCA9C2">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59A387BC">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质保期管理</w:t>
            </w:r>
          </w:p>
        </w:tc>
        <w:tc>
          <w:tcPr>
            <w:tcW w:w="3589" w:type="dxa"/>
            <w:shd w:val="clear" w:color="auto" w:fill="auto"/>
            <w:noWrap w:val="0"/>
            <w:vAlign w:val="center"/>
          </w:tcPr>
          <w:p w14:paraId="72CCD4C6">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用于维护合同的质保期</w:t>
            </w:r>
          </w:p>
        </w:tc>
        <w:tc>
          <w:tcPr>
            <w:tcW w:w="1531" w:type="dxa"/>
            <w:shd w:val="clear" w:color="auto" w:fill="auto"/>
            <w:noWrap w:val="0"/>
            <w:vAlign w:val="center"/>
          </w:tcPr>
          <w:p w14:paraId="3F4DA100">
            <w:pPr>
              <w:jc w:val="center"/>
              <w:rPr>
                <w:rFonts w:hint="eastAsia" w:ascii="仿宋_GB2312" w:hAnsi="仿宋_GB2312" w:eastAsia="仿宋_GB2312" w:cs="仿宋_GB2312"/>
                <w:sz w:val="24"/>
                <w:szCs w:val="28"/>
              </w:rPr>
            </w:pPr>
          </w:p>
        </w:tc>
      </w:tr>
      <w:tr w14:paraId="3607A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3F822537">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41478F5A">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工程合同审定管理</w:t>
            </w:r>
          </w:p>
        </w:tc>
        <w:tc>
          <w:tcPr>
            <w:tcW w:w="3589" w:type="dxa"/>
            <w:shd w:val="clear" w:color="auto" w:fill="auto"/>
            <w:noWrap w:val="0"/>
            <w:vAlign w:val="center"/>
          </w:tcPr>
          <w:p w14:paraId="1909B33B">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用于工程合同填审定金额和上传审计报告</w:t>
            </w:r>
          </w:p>
        </w:tc>
        <w:tc>
          <w:tcPr>
            <w:tcW w:w="1531" w:type="dxa"/>
            <w:shd w:val="clear" w:color="auto" w:fill="auto"/>
            <w:noWrap w:val="0"/>
            <w:vAlign w:val="center"/>
          </w:tcPr>
          <w:p w14:paraId="1232B08C">
            <w:pPr>
              <w:jc w:val="center"/>
              <w:rPr>
                <w:rFonts w:hint="eastAsia" w:ascii="仿宋_GB2312" w:hAnsi="仿宋_GB2312" w:eastAsia="仿宋_GB2312" w:cs="仿宋_GB2312"/>
                <w:sz w:val="24"/>
                <w:szCs w:val="28"/>
              </w:rPr>
            </w:pPr>
          </w:p>
        </w:tc>
      </w:tr>
      <w:tr w14:paraId="5E20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1668" w:type="dxa"/>
            <w:vMerge w:val="restart"/>
            <w:shd w:val="clear" w:color="auto" w:fill="auto"/>
            <w:noWrap w:val="0"/>
            <w:vAlign w:val="center"/>
          </w:tcPr>
          <w:p w14:paraId="1D32240E">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合同查询</w:t>
            </w:r>
          </w:p>
        </w:tc>
        <w:tc>
          <w:tcPr>
            <w:tcW w:w="2268" w:type="dxa"/>
            <w:shd w:val="clear" w:color="auto" w:fill="auto"/>
            <w:noWrap w:val="0"/>
            <w:vAlign w:val="center"/>
          </w:tcPr>
          <w:p w14:paraId="448BBE94">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合同台账</w:t>
            </w:r>
          </w:p>
        </w:tc>
        <w:tc>
          <w:tcPr>
            <w:tcW w:w="3589" w:type="dxa"/>
            <w:shd w:val="clear" w:color="auto" w:fill="auto"/>
            <w:noWrap w:val="0"/>
            <w:vAlign w:val="center"/>
          </w:tcPr>
          <w:p w14:paraId="75B16258">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用于查看合同整体的执行情况</w:t>
            </w:r>
          </w:p>
        </w:tc>
        <w:tc>
          <w:tcPr>
            <w:tcW w:w="1531" w:type="dxa"/>
            <w:shd w:val="clear" w:color="auto" w:fill="auto"/>
            <w:noWrap w:val="0"/>
            <w:vAlign w:val="center"/>
          </w:tcPr>
          <w:p w14:paraId="70C47F4E">
            <w:pPr>
              <w:jc w:val="center"/>
              <w:rPr>
                <w:rFonts w:hint="eastAsia" w:ascii="仿宋_GB2312" w:hAnsi="仿宋_GB2312" w:eastAsia="仿宋_GB2312" w:cs="仿宋_GB2312"/>
                <w:sz w:val="24"/>
                <w:szCs w:val="28"/>
              </w:rPr>
            </w:pPr>
          </w:p>
        </w:tc>
      </w:tr>
      <w:tr w14:paraId="57C8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62972A57">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00A145BC">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合同建立明细</w:t>
            </w:r>
          </w:p>
        </w:tc>
        <w:tc>
          <w:tcPr>
            <w:tcW w:w="3589" w:type="dxa"/>
            <w:shd w:val="clear" w:color="auto" w:fill="auto"/>
            <w:noWrap w:val="0"/>
            <w:vAlign w:val="center"/>
          </w:tcPr>
          <w:p w14:paraId="51ED58B9">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用于查询合同建立的明细</w:t>
            </w:r>
          </w:p>
        </w:tc>
        <w:tc>
          <w:tcPr>
            <w:tcW w:w="1531" w:type="dxa"/>
            <w:shd w:val="clear" w:color="auto" w:fill="auto"/>
            <w:noWrap w:val="0"/>
            <w:vAlign w:val="center"/>
          </w:tcPr>
          <w:p w14:paraId="25DECE33">
            <w:pPr>
              <w:jc w:val="center"/>
              <w:rPr>
                <w:rFonts w:hint="eastAsia" w:ascii="仿宋_GB2312" w:hAnsi="仿宋_GB2312" w:eastAsia="仿宋_GB2312" w:cs="仿宋_GB2312"/>
                <w:sz w:val="24"/>
                <w:szCs w:val="28"/>
              </w:rPr>
            </w:pPr>
          </w:p>
        </w:tc>
      </w:tr>
      <w:tr w14:paraId="28469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36A29EB3">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32E7B4D0">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合同补录明细</w:t>
            </w:r>
          </w:p>
        </w:tc>
        <w:tc>
          <w:tcPr>
            <w:tcW w:w="3589" w:type="dxa"/>
            <w:shd w:val="clear" w:color="auto" w:fill="auto"/>
            <w:noWrap w:val="0"/>
            <w:vAlign w:val="center"/>
          </w:tcPr>
          <w:p w14:paraId="25065952">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用于查询合同补录的明细</w:t>
            </w:r>
          </w:p>
        </w:tc>
        <w:tc>
          <w:tcPr>
            <w:tcW w:w="1531" w:type="dxa"/>
            <w:shd w:val="clear" w:color="auto" w:fill="auto"/>
            <w:noWrap w:val="0"/>
            <w:vAlign w:val="center"/>
          </w:tcPr>
          <w:p w14:paraId="226256EA">
            <w:pPr>
              <w:jc w:val="center"/>
              <w:rPr>
                <w:rFonts w:hint="eastAsia" w:ascii="仿宋_GB2312" w:hAnsi="仿宋_GB2312" w:eastAsia="仿宋_GB2312" w:cs="仿宋_GB2312"/>
                <w:sz w:val="24"/>
                <w:szCs w:val="28"/>
              </w:rPr>
            </w:pPr>
          </w:p>
        </w:tc>
      </w:tr>
      <w:tr w14:paraId="2C0D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50E6CE74">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34B697BE">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合同变更明细</w:t>
            </w:r>
          </w:p>
        </w:tc>
        <w:tc>
          <w:tcPr>
            <w:tcW w:w="3589" w:type="dxa"/>
            <w:shd w:val="clear" w:color="auto" w:fill="auto"/>
            <w:noWrap w:val="0"/>
            <w:vAlign w:val="center"/>
          </w:tcPr>
          <w:p w14:paraId="0C95D71A">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用于查询合同变更的明细</w:t>
            </w:r>
          </w:p>
        </w:tc>
        <w:tc>
          <w:tcPr>
            <w:tcW w:w="1531" w:type="dxa"/>
            <w:shd w:val="clear" w:color="auto" w:fill="auto"/>
            <w:noWrap w:val="0"/>
            <w:vAlign w:val="center"/>
          </w:tcPr>
          <w:p w14:paraId="7F4A8977">
            <w:pPr>
              <w:jc w:val="center"/>
              <w:rPr>
                <w:rFonts w:hint="eastAsia" w:ascii="仿宋_GB2312" w:hAnsi="仿宋_GB2312" w:eastAsia="仿宋_GB2312" w:cs="仿宋_GB2312"/>
                <w:sz w:val="24"/>
                <w:szCs w:val="28"/>
              </w:rPr>
            </w:pPr>
          </w:p>
        </w:tc>
      </w:tr>
      <w:tr w14:paraId="107D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71F141C3">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0162F867">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合同提醒配置</w:t>
            </w:r>
          </w:p>
        </w:tc>
        <w:tc>
          <w:tcPr>
            <w:tcW w:w="3589" w:type="dxa"/>
            <w:shd w:val="clear" w:color="auto" w:fill="auto"/>
            <w:noWrap w:val="0"/>
            <w:vAlign w:val="center"/>
          </w:tcPr>
          <w:p w14:paraId="7BCD33C9">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用于进行合同的提醒设置</w:t>
            </w:r>
          </w:p>
        </w:tc>
        <w:tc>
          <w:tcPr>
            <w:tcW w:w="1531" w:type="dxa"/>
            <w:shd w:val="clear" w:color="auto" w:fill="auto"/>
            <w:noWrap w:val="0"/>
            <w:vAlign w:val="center"/>
          </w:tcPr>
          <w:p w14:paraId="212F9D3F">
            <w:pPr>
              <w:jc w:val="center"/>
              <w:rPr>
                <w:rFonts w:hint="eastAsia" w:ascii="仿宋_GB2312" w:hAnsi="仿宋_GB2312" w:eastAsia="仿宋_GB2312" w:cs="仿宋_GB2312"/>
                <w:sz w:val="24"/>
                <w:szCs w:val="28"/>
              </w:rPr>
            </w:pPr>
          </w:p>
        </w:tc>
      </w:tr>
      <w:tr w14:paraId="0819A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11B9EF32">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527B9020">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合同提醒明细</w:t>
            </w:r>
          </w:p>
        </w:tc>
        <w:tc>
          <w:tcPr>
            <w:tcW w:w="3589" w:type="dxa"/>
            <w:shd w:val="clear" w:color="auto" w:fill="auto"/>
            <w:noWrap w:val="0"/>
            <w:vAlign w:val="center"/>
          </w:tcPr>
          <w:p w14:paraId="469C5E6E">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用于查询合同提醒的明细</w:t>
            </w:r>
          </w:p>
        </w:tc>
        <w:tc>
          <w:tcPr>
            <w:tcW w:w="1531" w:type="dxa"/>
            <w:shd w:val="clear" w:color="auto" w:fill="auto"/>
            <w:noWrap w:val="0"/>
            <w:vAlign w:val="center"/>
          </w:tcPr>
          <w:p w14:paraId="11959FF7">
            <w:pPr>
              <w:jc w:val="center"/>
              <w:rPr>
                <w:rFonts w:hint="eastAsia" w:ascii="仿宋_GB2312" w:hAnsi="仿宋_GB2312" w:eastAsia="仿宋_GB2312" w:cs="仿宋_GB2312"/>
                <w:sz w:val="24"/>
                <w:szCs w:val="28"/>
              </w:rPr>
            </w:pPr>
          </w:p>
        </w:tc>
      </w:tr>
      <w:tr w14:paraId="0A423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668" w:type="dxa"/>
            <w:vMerge w:val="continue"/>
            <w:shd w:val="clear" w:color="auto" w:fill="auto"/>
            <w:noWrap w:val="0"/>
            <w:vAlign w:val="center"/>
          </w:tcPr>
          <w:p w14:paraId="1C4E77F6">
            <w:pPr>
              <w:jc w:val="center"/>
              <w:rPr>
                <w:rFonts w:hint="eastAsia" w:ascii="仿宋_GB2312" w:hAnsi="仿宋_GB2312" w:eastAsia="仿宋_GB2312" w:cs="仿宋_GB2312"/>
                <w:sz w:val="24"/>
                <w:szCs w:val="28"/>
              </w:rPr>
            </w:pPr>
          </w:p>
        </w:tc>
        <w:tc>
          <w:tcPr>
            <w:tcW w:w="2268" w:type="dxa"/>
            <w:shd w:val="clear" w:color="auto" w:fill="auto"/>
            <w:noWrap w:val="0"/>
            <w:vAlign w:val="center"/>
          </w:tcPr>
          <w:p w14:paraId="7371748D">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合同执行明细</w:t>
            </w:r>
          </w:p>
        </w:tc>
        <w:tc>
          <w:tcPr>
            <w:tcW w:w="3589" w:type="dxa"/>
            <w:shd w:val="clear" w:color="auto" w:fill="auto"/>
            <w:noWrap w:val="0"/>
            <w:vAlign w:val="center"/>
          </w:tcPr>
          <w:p w14:paraId="4DF6978C">
            <w:pPr>
              <w:jc w:val="center"/>
              <w:rPr>
                <w:rFonts w:hint="eastAsia" w:ascii="仿宋_GB2312" w:hAnsi="仿宋_GB2312" w:eastAsia="仿宋_GB2312" w:cs="仿宋_GB2312"/>
                <w:sz w:val="24"/>
                <w:szCs w:val="28"/>
              </w:rPr>
            </w:pPr>
            <w:r>
              <w:rPr>
                <w:rFonts w:hint="eastAsia" w:ascii="仿宋_GB2312" w:hAnsi="仿宋_GB2312" w:eastAsia="仿宋_GB2312" w:cs="仿宋_GB2312"/>
                <w:sz w:val="24"/>
                <w:szCs w:val="28"/>
              </w:rPr>
              <w:t>用于查询合同执行的明细</w:t>
            </w:r>
          </w:p>
        </w:tc>
        <w:tc>
          <w:tcPr>
            <w:tcW w:w="1531" w:type="dxa"/>
            <w:shd w:val="clear" w:color="auto" w:fill="auto"/>
            <w:noWrap w:val="0"/>
            <w:vAlign w:val="center"/>
          </w:tcPr>
          <w:p w14:paraId="1128A760">
            <w:pPr>
              <w:jc w:val="center"/>
              <w:rPr>
                <w:rFonts w:hint="eastAsia" w:ascii="仿宋_GB2312" w:hAnsi="仿宋_GB2312" w:eastAsia="仿宋_GB2312" w:cs="仿宋_GB2312"/>
                <w:sz w:val="24"/>
                <w:szCs w:val="28"/>
              </w:rPr>
            </w:pPr>
          </w:p>
        </w:tc>
      </w:tr>
    </w:tbl>
    <w:p w14:paraId="280B8758">
      <w:pPr>
        <w:jc w:val="both"/>
        <w:rPr>
          <w:rFonts w:hint="default"/>
          <w:lang w:val="en-US" w:eastAsia="zh-CN"/>
        </w:rPr>
      </w:pPr>
      <w:r>
        <w:rPr>
          <w:rFonts w:hint="eastAsia"/>
          <w:lang w:val="en-US" w:eastAsia="zh-CN"/>
        </w:rPr>
        <w:t xml:space="preserve"> </w:t>
      </w:r>
      <w:r>
        <w:rPr>
          <w:rFonts w:hint="eastAsia" w:ascii="仿宋" w:hAnsi="仿宋" w:eastAsia="仿宋" w:cs="Times New Roman"/>
          <w:b/>
          <w:sz w:val="28"/>
          <w:szCs w:val="28"/>
          <w:lang w:val="en-US" w:eastAsia="zh-CN"/>
        </w:rPr>
        <w:t>三、每家提供现场演示，不超过20分钟</w:t>
      </w:r>
    </w:p>
    <w:p w14:paraId="590708B3"/>
    <w:p w14:paraId="20E79C50">
      <w:pPr>
        <w:pStyle w:val="12"/>
        <w:adjustRightInd w:val="0"/>
        <w:snapToGrid w:val="0"/>
        <w:spacing w:line="360" w:lineRule="auto"/>
        <w:ind w:left="0" w:leftChars="0" w:firstLine="0" w:firstLineChars="0"/>
        <w:jc w:val="left"/>
        <w:rPr>
          <w:rFonts w:ascii="仿宋" w:hAnsi="仿宋" w:eastAsia="仿宋" w:cs="Times New Roman"/>
          <w:sz w:val="28"/>
          <w:szCs w:val="28"/>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彩云">
    <w:altName w:val="微软雅黑"/>
    <w:panose1 w:val="02010800040101010101"/>
    <w:charset w:val="00"/>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00"/>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C3668"/>
    <w:rsid w:val="12D400F0"/>
    <w:rsid w:val="5D0D2713"/>
    <w:rsid w:val="6FF73D00"/>
    <w:rsid w:val="74643680"/>
    <w:rsid w:val="7BFC3668"/>
    <w:rsid w:val="7FDEA744"/>
    <w:rsid w:val="DDBF9453"/>
    <w:rsid w:val="E9E72966"/>
    <w:rsid w:val="FEFFA7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7">
    <w:name w:val="heading 3"/>
    <w:basedOn w:val="1"/>
    <w:next w:val="8"/>
    <w:qFormat/>
    <w:uiPriority w:val="0"/>
    <w:pPr>
      <w:keepNext/>
      <w:keepLines/>
      <w:spacing w:before="260" w:after="260" w:line="416" w:lineRule="auto"/>
      <w:outlineLvl w:val="2"/>
    </w:pPr>
    <w:rPr>
      <w:b/>
      <w:sz w:val="32"/>
      <w:szCs w:val="20"/>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tabs>
        <w:tab w:val="left" w:pos="2020"/>
        <w:tab w:val="center" w:pos="4535"/>
      </w:tabs>
      <w:spacing w:after="120" w:afterLines="0"/>
      <w:ind w:firstLine="420" w:firstLineChars="100"/>
    </w:pPr>
    <w:rPr>
      <w:sz w:val="21"/>
    </w:rPr>
  </w:style>
  <w:style w:type="paragraph" w:styleId="3">
    <w:name w:val="Body Text"/>
    <w:basedOn w:val="1"/>
    <w:next w:val="1"/>
    <w:qFormat/>
    <w:uiPriority w:val="0"/>
    <w:pPr>
      <w:tabs>
        <w:tab w:val="left" w:pos="2020"/>
        <w:tab w:val="center" w:pos="4535"/>
      </w:tabs>
      <w:spacing w:line="500" w:lineRule="exact"/>
      <w:outlineLvl w:val="0"/>
    </w:pPr>
    <w:rPr>
      <w:rFonts w:ascii="华文彩云" w:hAnsi="宋体" w:eastAsia="华文彩云"/>
      <w:bCs/>
      <w:color w:val="000000"/>
      <w:sz w:val="28"/>
    </w:rPr>
  </w:style>
  <w:style w:type="paragraph" w:styleId="4">
    <w:name w:val="Body Text First Indent 2"/>
    <w:basedOn w:val="5"/>
    <w:qFormat/>
    <w:uiPriority w:val="0"/>
    <w:pPr>
      <w:widowControl/>
      <w:spacing w:after="120" w:afterLines="0"/>
      <w:ind w:left="420" w:leftChars="200" w:firstLine="420" w:firstLineChars="200"/>
    </w:pPr>
    <w:rPr>
      <w:rFonts w:ascii="仿宋_GB2312" w:eastAsia="仿宋_GB2312"/>
      <w:color w:val="FF6600"/>
      <w:sz w:val="21"/>
    </w:rPr>
  </w:style>
  <w:style w:type="paragraph" w:styleId="5">
    <w:name w:val="Body Text Indent"/>
    <w:basedOn w:val="1"/>
    <w:next w:val="6"/>
    <w:qFormat/>
    <w:uiPriority w:val="0"/>
    <w:pPr>
      <w:ind w:firstLine="630"/>
    </w:pPr>
    <w:rPr>
      <w:rFonts w:ascii="楷体_GB2312" w:eastAsia="楷体_GB2312"/>
      <w:sz w:val="32"/>
      <w:szCs w:val="20"/>
    </w:rPr>
  </w:style>
  <w:style w:type="paragraph" w:styleId="6">
    <w:name w:val="envelope return"/>
    <w:basedOn w:val="1"/>
    <w:qFormat/>
    <w:uiPriority w:val="0"/>
    <w:pPr>
      <w:snapToGrid w:val="0"/>
    </w:pPr>
    <w:rPr>
      <w:rFonts w:ascii="Arial" w:hAnsi="Arial" w:eastAsia="宋体" w:cs="Times New Roman"/>
    </w:rPr>
  </w:style>
  <w:style w:type="paragraph" w:styleId="8">
    <w:name w:val="Normal Indent"/>
    <w:basedOn w:val="1"/>
    <w:qFormat/>
    <w:uiPriority w:val="0"/>
    <w:pPr>
      <w:ind w:firstLine="420"/>
    </w:pPr>
    <w:rPr>
      <w:szCs w:val="20"/>
    </w:rPr>
  </w:style>
  <w:style w:type="paragraph" w:styleId="9">
    <w:name w:val="Plain Text"/>
    <w:basedOn w:val="1"/>
    <w:qFormat/>
    <w:uiPriority w:val="99"/>
    <w:rPr>
      <w:rFonts w:ascii="宋体" w:hAnsi="Courier New"/>
      <w:szCs w:val="20"/>
    </w:rPr>
  </w:style>
  <w:style w:type="paragraph" w:styleId="1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2007</Words>
  <Characters>2023</Characters>
  <Lines>0</Lines>
  <Paragraphs>0</Paragraphs>
  <TotalTime>3</TotalTime>
  <ScaleCrop>false</ScaleCrop>
  <LinksUpToDate>false</LinksUpToDate>
  <CharactersWithSpaces>2025</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2024-02-28T11:51:00Z</dcterms:created>
  <dc:creator>Echo</dc:creator>
  <cp:lastModifiedBy>施吉利</cp:lastModifiedBy>
  <dcterms:modified xsi:type="dcterms:W3CDTF">2025-01-03T03:35:54Z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402406B621BA4807B8EB5CD7C42B2213_13</vt:lpwstr>
  </property>
  <property fmtid="{D5CDD505-2E9C-101B-9397-08002B2CF9AE}" pid="4" name="KSOTemplateDocerSaveRecord">
    <vt:lpwstr>eyJoZGlkIjoiNzk0ZTk0MjFlZTQ0YWFhNmNhNjViMjQ0ZmE4NGIwOGMiLCJ1c2VySWQiOiIxNDU4NzEzMTYxIn0=</vt:lpwstr>
  </property>
</Properties>
</file>