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C28F8">
      <w:pPr>
        <w:spacing w:after="5" w:line="360" w:lineRule="auto"/>
        <w:rPr>
          <w:rFonts w:hint="eastAsia" w:ascii="宋体" w:hAnsi="宋体"/>
          <w:sz w:val="24"/>
          <w:szCs w:val="24"/>
        </w:rPr>
      </w:pPr>
      <w:r>
        <w:rPr>
          <w:rFonts w:hint="eastAsia" w:ascii="宋体" w:hAnsi="宋体"/>
          <w:sz w:val="24"/>
          <w:szCs w:val="24"/>
          <w:lang w:val="en-US" w:eastAsia="zh-CN"/>
        </w:rPr>
        <w:t>一</w:t>
      </w:r>
      <w:r>
        <w:rPr>
          <w:rFonts w:ascii="宋体" w:hAnsi="宋体"/>
          <w:sz w:val="24"/>
          <w:szCs w:val="24"/>
        </w:rPr>
        <w:t>.</w:t>
      </w:r>
      <w:r>
        <w:rPr>
          <w:rFonts w:hint="eastAsia" w:ascii="宋体" w:hAnsi="宋体"/>
          <w:b/>
          <w:bCs/>
          <w:sz w:val="24"/>
          <w:szCs w:val="24"/>
        </w:rPr>
        <w:t>设备清单</w:t>
      </w:r>
    </w:p>
    <w:p w14:paraId="38AF6BD8">
      <w:pPr>
        <w:rPr>
          <w:rFonts w:hint="eastAsia"/>
          <w:lang w:val="en-US" w:eastAsia="zh-CN"/>
        </w:rPr>
      </w:pPr>
    </w:p>
    <w:tbl>
      <w:tblPr>
        <w:tblStyle w:val="4"/>
        <w:tblW w:w="7522" w:type="dxa"/>
        <w:tblInd w:w="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4"/>
        <w:gridCol w:w="2725"/>
        <w:gridCol w:w="938"/>
        <w:gridCol w:w="1150"/>
        <w:gridCol w:w="1975"/>
      </w:tblGrid>
      <w:tr w14:paraId="110F2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419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2DA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设备名称</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044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E9C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72F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2843C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F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21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方柱LED显示屏</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C2EA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20.28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0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A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详见技术要求</w:t>
            </w:r>
          </w:p>
        </w:tc>
      </w:tr>
      <w:tr w14:paraId="66565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5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C8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方柱圆角LED显示屏</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A3DD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9.01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CC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A8C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详见技术要求</w:t>
            </w:r>
          </w:p>
        </w:tc>
      </w:tr>
      <w:tr w14:paraId="34AF7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AE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7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LED控制系统</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2FB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CE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8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详见技术要求</w:t>
            </w:r>
          </w:p>
        </w:tc>
      </w:tr>
      <w:tr w14:paraId="4C15D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45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A8D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播控软件</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C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A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02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详见技术要求</w:t>
            </w:r>
          </w:p>
        </w:tc>
      </w:tr>
      <w:tr w14:paraId="25C58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44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D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智能配电柜</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5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D81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8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详见技术要求</w:t>
            </w:r>
          </w:p>
        </w:tc>
      </w:tr>
      <w:tr w14:paraId="419B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575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CA5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结构支架</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AF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F1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63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详见技术要求</w:t>
            </w:r>
          </w:p>
        </w:tc>
      </w:tr>
      <w:tr w14:paraId="7A39F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62D63">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7</w:t>
            </w: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28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屏体线缆</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A4ADB">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A5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项</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C6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详见技术要求</w:t>
            </w:r>
          </w:p>
        </w:tc>
      </w:tr>
      <w:tr w14:paraId="2674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E03F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52C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电子数字万年历挂钟</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EF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A5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42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详见技术要求</w:t>
            </w:r>
          </w:p>
        </w:tc>
      </w:tr>
      <w:tr w14:paraId="093DA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016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tc>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F6C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0023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369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31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13B7124D">
      <w:pPr>
        <w:rPr>
          <w:rFonts w:hint="default"/>
          <w:lang w:val="en-US" w:eastAsia="zh-CN"/>
        </w:rPr>
      </w:pPr>
    </w:p>
    <w:p w14:paraId="504685B6">
      <w:pPr>
        <w:rPr>
          <w:rFonts w:hint="eastAsia"/>
          <w:lang w:val="en-US" w:eastAsia="zh-CN"/>
        </w:rPr>
      </w:pPr>
    </w:p>
    <w:p w14:paraId="072E7911">
      <w:pPr>
        <w:numPr>
          <w:ilvl w:val="0"/>
          <w:numId w:val="1"/>
        </w:numPr>
        <w:rPr>
          <w:rFonts w:hint="eastAsia"/>
          <w:b/>
          <w:bCs/>
          <w:lang w:val="en-US" w:eastAsia="zh-CN"/>
        </w:rPr>
      </w:pPr>
      <w:r>
        <w:rPr>
          <w:rFonts w:hint="eastAsia"/>
          <w:b/>
          <w:bCs/>
          <w:lang w:val="en-US" w:eastAsia="zh-CN"/>
        </w:rPr>
        <w:t>详细技术参数要求</w:t>
      </w:r>
    </w:p>
    <w:p w14:paraId="596C5A80">
      <w:pPr>
        <w:numPr>
          <w:ilvl w:val="0"/>
          <w:numId w:val="0"/>
        </w:numPr>
        <w:rPr>
          <w:rFonts w:hint="eastAsia"/>
          <w:b/>
          <w:bCs/>
          <w:lang w:val="en-US" w:eastAsia="zh-CN"/>
        </w:rPr>
      </w:pPr>
    </w:p>
    <w:p w14:paraId="479909AE">
      <w:pPr>
        <w:widowControl w:val="0"/>
        <w:numPr>
          <w:ilvl w:val="0"/>
          <w:numId w:val="0"/>
        </w:numPr>
        <w:jc w:val="both"/>
        <w:rPr>
          <w:rFonts w:hint="default" w:ascii="宋体" w:hAnsi="宋体" w:eastAsia="宋体" w:cs="宋体"/>
          <w:i w:val="0"/>
          <w:iCs w:val="0"/>
          <w:color w:val="000000"/>
          <w:kern w:val="0"/>
          <w:sz w:val="24"/>
          <w:szCs w:val="24"/>
          <w:u w:val="none"/>
          <w:lang w:val="en-US" w:eastAsia="zh-CN" w:bidi="ar"/>
        </w:rPr>
      </w:pPr>
    </w:p>
    <w:p w14:paraId="03C8B00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u w:val="single"/>
          <w:lang w:val="en-US" w:eastAsia="zh-CN"/>
        </w:rPr>
      </w:pPr>
      <w:r>
        <w:rPr>
          <w:rFonts w:hint="eastAsia"/>
          <w:b/>
          <w:bCs/>
          <w:u w:val="single"/>
          <w:lang w:val="en-US" w:eastAsia="zh-CN"/>
        </w:rPr>
        <w:t>方柱形LED显示屏，3套，单套显示屏净尺寸0.96m*1.76m*4面，模组采用倒角斜边设计，使得相邻显示面之间的模组拼缝＜0.5mm</w:t>
      </w:r>
    </w:p>
    <w:p w14:paraId="51B1EC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1、像素点间距：</w:t>
      </w:r>
      <w:r>
        <w:rPr>
          <w:rFonts w:hint="eastAsia"/>
          <w:lang w:val="en-US" w:eastAsia="zh-CN"/>
        </w:rPr>
        <w:t>＜</w:t>
      </w:r>
      <w:r>
        <w:rPr>
          <w:rFonts w:hint="eastAsia"/>
        </w:rPr>
        <w:t>1.5</w:t>
      </w:r>
      <w:r>
        <w:rPr>
          <w:rFonts w:hint="eastAsia"/>
          <w:lang w:val="en-US" w:eastAsia="zh-CN"/>
        </w:rPr>
        <w:t>4</w:t>
      </w:r>
      <w:r>
        <w:rPr>
          <w:rFonts w:hint="eastAsia"/>
        </w:rPr>
        <w:t>mm；像素密度：≥427186点/㎡（提供具有CNAS或CMA认证的检验机构出具的检测报告）；</w:t>
      </w:r>
    </w:p>
    <w:p w14:paraId="40923F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2、采用表贴三合一发光管，屏幕表面做不反光处理，前维护技术，要求显示模块、开关电源、控制系统等均可前维护，</w:t>
      </w:r>
    </w:p>
    <w:p w14:paraId="14D5BE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3</w:t>
      </w:r>
      <w:r>
        <w:rPr>
          <w:rFonts w:hint="eastAsia"/>
        </w:rPr>
        <w:t>、白平衡亮度：≥600CD/平方米；灰度等级：≥16bit</w:t>
      </w:r>
      <w:r>
        <w:rPr>
          <w:rFonts w:hint="eastAsia"/>
          <w:lang w:eastAsia="zh-CN"/>
        </w:rPr>
        <w:t>，</w:t>
      </w:r>
      <w:r>
        <w:rPr>
          <w:rFonts w:hint="eastAsia"/>
        </w:rPr>
        <w:t>峰值功耗≤650W/㎡，平均功耗≤220W/㎡（提供具有CNAS或CMA认证的检验机构出具的检测报告）；</w:t>
      </w:r>
    </w:p>
    <w:p w14:paraId="2BFCC0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lang w:eastAsia="zh-CN"/>
        </w:rPr>
      </w:pPr>
      <w:r>
        <w:rPr>
          <w:rFonts w:hint="eastAsia"/>
          <w:lang w:val="en-US" w:eastAsia="zh-CN"/>
        </w:rPr>
        <w:t>4</w:t>
      </w:r>
      <w:r>
        <w:rPr>
          <w:rFonts w:hint="eastAsia"/>
        </w:rPr>
        <w:t>、最大视角（水平和垂直）：≥160°</w:t>
      </w:r>
      <w:r>
        <w:rPr>
          <w:rFonts w:hint="eastAsia"/>
          <w:lang w:eastAsia="zh-CN"/>
        </w:rPr>
        <w:t>，</w:t>
      </w:r>
      <w:r>
        <w:rPr>
          <w:rFonts w:hint="eastAsia"/>
        </w:rPr>
        <w:t>色温：3000K—9300K连续可调；换帧频率：≥60 Hz；（提供具有CNAS或CMA认证的检验机构出具的检测报告</w:t>
      </w:r>
      <w:r>
        <w:rPr>
          <w:rFonts w:hint="eastAsia"/>
          <w:lang w:eastAsia="zh-CN"/>
        </w:rPr>
        <w:t>）</w:t>
      </w:r>
    </w:p>
    <w:p w14:paraId="72AA1C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5、</w:t>
      </w:r>
      <w:r>
        <w:rPr>
          <w:rFonts w:hint="eastAsia"/>
        </w:rPr>
        <w:t>为保护视力，减少视力伤害，显示屏需通过了蓝光辐射危害测试，要满足①无380nm-400nm波长的辐射，②波长460nm蓝光辐射亮度（光强度）1.78E-02W/(㎡.sr.nm)。（提供具有CNAS认证机构的检测报告，同时提供该检测机构上述指标检测资格的CNAS认证官网查询截图）</w:t>
      </w:r>
    </w:p>
    <w:p w14:paraId="03EBEB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6、</w:t>
      </w:r>
      <w:r>
        <w:rPr>
          <w:rFonts w:hint="eastAsia" w:ascii="微软雅黑" w:hAnsi="微软雅黑" w:eastAsia="微软雅黑" w:cs="微软雅黑"/>
        </w:rPr>
        <w:t>▲</w:t>
      </w:r>
      <w:r>
        <w:rPr>
          <w:rFonts w:hint="eastAsia"/>
        </w:rPr>
        <w:t>为保</w:t>
      </w:r>
      <w:r>
        <w:rPr>
          <w:rFonts w:hint="eastAsia"/>
          <w:lang w:val="en-US" w:eastAsia="zh-CN"/>
        </w:rPr>
        <w:t>证消防</w:t>
      </w:r>
      <w:r>
        <w:rPr>
          <w:rFonts w:hint="eastAsia"/>
        </w:rPr>
        <w:t>安全，</w:t>
      </w:r>
      <w:r>
        <w:rPr>
          <w:rFonts w:hint="eastAsia"/>
          <w:lang w:val="en-US" w:eastAsia="zh-CN"/>
        </w:rPr>
        <w:t>LED显示屏</w:t>
      </w:r>
      <w:r>
        <w:rPr>
          <w:rFonts w:hint="eastAsia"/>
        </w:rPr>
        <w:t>需同时通过UL94:2013和GB/T 2408-2021标准的燃烧性能测定，水平燃烧达到HB等级，垂直燃烧达到V-0等级（提供具有CNAS标识的第三方检测机构出具的检测报告，且检测报告内需包含完整燃烧实验过程图片）</w:t>
      </w:r>
    </w:p>
    <w:p w14:paraId="458015E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7、</w:t>
      </w:r>
      <w:r>
        <w:rPr>
          <w:rFonts w:hint="eastAsia"/>
        </w:rPr>
        <w:t>为防止辐射污染，LED显示屏通过BS6853有毒烟雾测试，毒性指数R值小于0.5（提供CNAS认证的第三方检测报告</w:t>
      </w:r>
      <w:r>
        <w:rPr>
          <w:rFonts w:hint="eastAsia"/>
          <w:lang w:eastAsia="zh-CN"/>
        </w:rPr>
        <w:t>，</w:t>
      </w:r>
      <w:r>
        <w:rPr>
          <w:rFonts w:hint="eastAsia"/>
          <w:lang w:val="en-US" w:eastAsia="zh-CN"/>
        </w:rPr>
        <w:t>且检测报告中需注明依照的测试标准和测试过程的详细数据</w:t>
      </w:r>
      <w:r>
        <w:rPr>
          <w:rFonts w:hint="eastAsia"/>
        </w:rPr>
        <w:t>）</w:t>
      </w:r>
    </w:p>
    <w:p w14:paraId="08729AA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8、</w:t>
      </w:r>
      <w:r>
        <w:rPr>
          <w:rFonts w:hint="eastAsia"/>
        </w:rPr>
        <w:t>为保证</w:t>
      </w:r>
      <w:r>
        <w:rPr>
          <w:rFonts w:hint="eastAsia"/>
          <w:lang w:val="en-US" w:eastAsia="zh-CN"/>
        </w:rPr>
        <w:t>安全</w:t>
      </w:r>
      <w:r>
        <w:rPr>
          <w:rFonts w:hint="eastAsia"/>
        </w:rPr>
        <w:t>健康，</w:t>
      </w:r>
      <w:r>
        <w:rPr>
          <w:rFonts w:hint="eastAsia"/>
          <w:lang w:val="en-US" w:eastAsia="zh-CN"/>
        </w:rPr>
        <w:t>LED显示屏厂商</w:t>
      </w:r>
      <w:r>
        <w:rPr>
          <w:rFonts w:hint="eastAsia"/>
        </w:rPr>
        <w:t>需通过电气与电子元件和产品有害物质过程控制管理体系符合性认证（提供认证证书）</w:t>
      </w:r>
    </w:p>
    <w:p w14:paraId="34938E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r>
        <w:rPr>
          <w:rFonts w:hint="eastAsia"/>
          <w:lang w:val="en-US" w:eastAsia="zh-CN"/>
        </w:rPr>
        <w:t>9、</w:t>
      </w:r>
      <w:r>
        <w:rPr>
          <w:rFonts w:hint="eastAsia"/>
        </w:rPr>
        <w:t>★为保证LED显示系统的可靠性，LED屏需通过可靠性试验，平均无故障时间MTBF≥20万小时（提供封面同时拥有CMA、CAL、CNAS 和 ilac-MRA标识的第三方检测报告</w:t>
      </w:r>
      <w:r>
        <w:rPr>
          <w:rFonts w:hint="eastAsia"/>
          <w:lang w:eastAsia="zh-CN"/>
        </w:rPr>
        <w:t>，</w:t>
      </w:r>
      <w:r>
        <w:rPr>
          <w:rFonts w:hint="eastAsia"/>
          <w:lang w:val="en-US" w:eastAsia="zh-CN"/>
        </w:rPr>
        <w:t>且报告包含完整的测试计算方式</w:t>
      </w:r>
      <w:r>
        <w:rPr>
          <w:rFonts w:hint="eastAsia"/>
        </w:rPr>
        <w:t>）</w:t>
      </w:r>
    </w:p>
    <w:p w14:paraId="28CC113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r>
        <w:rPr>
          <w:rFonts w:hint="eastAsia"/>
          <w:lang w:val="en-US" w:eastAsia="zh-CN"/>
        </w:rPr>
        <w:t>10、</w:t>
      </w:r>
      <w:r>
        <w:rPr>
          <w:rFonts w:hint="eastAsia"/>
        </w:rPr>
        <w:t>LED显示单元具有可开关功能技术，满足消防排烟通风要求；通过设置开合驱动装置以及压紧装置，解决建筑内表皮或外表皮通风排烟要求；（提供国家级权威部门出具的技术证书）；</w:t>
      </w:r>
    </w:p>
    <w:p w14:paraId="09C78B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r>
        <w:rPr>
          <w:rFonts w:hint="eastAsia"/>
        </w:rPr>
        <w:t>1</w:t>
      </w:r>
      <w:r>
        <w:rPr>
          <w:rFonts w:hint="eastAsia"/>
          <w:lang w:val="en-US" w:eastAsia="zh-CN"/>
        </w:rPr>
        <w:t>1、</w:t>
      </w:r>
      <w:r>
        <w:rPr>
          <w:rFonts w:hint="eastAsia"/>
        </w:rPr>
        <w:t>为保证LED系统和其他集成系统之间的对接合理性和稳定性，LED厂商需具有电子通信广电行业(电子系统工程)专业甲级资质。</w:t>
      </w:r>
    </w:p>
    <w:p w14:paraId="6E41DCD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r>
        <w:rPr>
          <w:rFonts w:hint="eastAsia"/>
        </w:rPr>
        <w:t>1</w:t>
      </w:r>
      <w:r>
        <w:rPr>
          <w:rFonts w:hint="eastAsia"/>
          <w:lang w:val="en-US" w:eastAsia="zh-CN"/>
        </w:rPr>
        <w:t>2</w:t>
      </w:r>
      <w:r>
        <w:rPr>
          <w:rFonts w:hint="eastAsia"/>
        </w:rPr>
        <w:t>、为保证显示系统稳定性，LED 显示屏屏体、播控软件、LED</w:t>
      </w:r>
      <w:r>
        <w:rPr>
          <w:rFonts w:hint="eastAsia"/>
          <w:lang w:val="en-US" w:eastAsia="zh-CN"/>
        </w:rPr>
        <w:t>控制系统</w:t>
      </w:r>
      <w:r>
        <w:rPr>
          <w:rFonts w:hint="eastAsia"/>
        </w:rPr>
        <w:t>为同一制造商或同一品牌（提供3C证书或软著）</w:t>
      </w:r>
    </w:p>
    <w:p w14:paraId="76B0F40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p>
    <w:p w14:paraId="34AAF2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p>
    <w:p w14:paraId="328D8E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b/>
          <w:bCs/>
          <w:u w:val="single"/>
          <w:lang w:val="en-US" w:eastAsia="zh-CN"/>
        </w:rPr>
        <w:t>方柱圆角LED显示屏，显示面净尺寸5.12m*1.76m，（圆弧角弧长549.78mm）整圈一体拼接，无拼缝，转角处采用可弯折软板设计，弧形拼接的方式，过渡平滑，整屏带箱体安装。</w:t>
      </w:r>
    </w:p>
    <w:p w14:paraId="76ABB6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1、像素点间距：</w:t>
      </w:r>
      <w:r>
        <w:rPr>
          <w:rFonts w:hint="eastAsia"/>
          <w:lang w:val="en-US" w:eastAsia="zh-CN"/>
        </w:rPr>
        <w:t>＜</w:t>
      </w:r>
      <w:r>
        <w:rPr>
          <w:rFonts w:hint="eastAsia"/>
        </w:rPr>
        <w:t>1.5</w:t>
      </w:r>
      <w:r>
        <w:rPr>
          <w:rFonts w:hint="eastAsia"/>
          <w:lang w:val="en-US" w:eastAsia="zh-CN"/>
        </w:rPr>
        <w:t>4</w:t>
      </w:r>
      <w:r>
        <w:rPr>
          <w:rFonts w:hint="eastAsia"/>
        </w:rPr>
        <w:t>mm；像素密度：≥427186点/㎡（提供具有CNAS或CMA认证的检验机构出具的检测报告）；</w:t>
      </w:r>
    </w:p>
    <w:p w14:paraId="7A56C9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2、采用表贴三合一发光管，屏幕表面做不反光处理，前维护技术，要求显示模块、开关电源、控制系统等均可前维护，</w:t>
      </w:r>
    </w:p>
    <w:p w14:paraId="0A86AA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3</w:t>
      </w:r>
      <w:r>
        <w:rPr>
          <w:rFonts w:hint="eastAsia"/>
        </w:rPr>
        <w:t>、白平衡亮度：≥600CD/平方米；灰度等级：≥16bit</w:t>
      </w:r>
      <w:r>
        <w:rPr>
          <w:rFonts w:hint="eastAsia"/>
          <w:lang w:eastAsia="zh-CN"/>
        </w:rPr>
        <w:t>，</w:t>
      </w:r>
      <w:r>
        <w:rPr>
          <w:rFonts w:hint="eastAsia"/>
        </w:rPr>
        <w:t>峰值功耗≤650W/㎡，平均功耗≤220W/㎡（提供具有CNAS或CMA认证的检验机构出具的检测报告）；</w:t>
      </w:r>
    </w:p>
    <w:p w14:paraId="61E95E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lang w:eastAsia="zh-CN"/>
        </w:rPr>
      </w:pPr>
      <w:r>
        <w:rPr>
          <w:rFonts w:hint="eastAsia"/>
          <w:lang w:val="en-US" w:eastAsia="zh-CN"/>
        </w:rPr>
        <w:t>4</w:t>
      </w:r>
      <w:r>
        <w:rPr>
          <w:rFonts w:hint="eastAsia"/>
        </w:rPr>
        <w:t>、最大视角（水平和垂直）：≥160°</w:t>
      </w:r>
      <w:r>
        <w:rPr>
          <w:rFonts w:hint="eastAsia"/>
          <w:lang w:eastAsia="zh-CN"/>
        </w:rPr>
        <w:t>，</w:t>
      </w:r>
      <w:r>
        <w:rPr>
          <w:rFonts w:hint="eastAsia"/>
        </w:rPr>
        <w:t>色温：3000K—9300K连续可调；换帧频率：≥60 Hz；（提供具有CNAS或CMA认证的检验机构出具的检测报告</w:t>
      </w:r>
      <w:r>
        <w:rPr>
          <w:rFonts w:hint="eastAsia"/>
          <w:lang w:eastAsia="zh-CN"/>
        </w:rPr>
        <w:t>）</w:t>
      </w:r>
    </w:p>
    <w:p w14:paraId="07E7C7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5、</w:t>
      </w:r>
      <w:r>
        <w:rPr>
          <w:rFonts w:hint="eastAsia"/>
        </w:rPr>
        <w:t>为保护视力，减少视力伤害，显示屏需通过了蓝光辐射危害测试，要满足①无380nm-400nm波长的辐射，②波长460nm蓝光辐射亮度（光强度）1.78E-02W/(㎡.sr.nm)。（提供具有CNAS认证机构的检测报告，同时提供该检测机构上述指标检测资格的CNAS认证官网查询截图）</w:t>
      </w:r>
    </w:p>
    <w:p w14:paraId="223EB6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6、</w:t>
      </w:r>
      <w:r>
        <w:rPr>
          <w:rFonts w:hint="eastAsia" w:ascii="微软雅黑" w:hAnsi="微软雅黑" w:eastAsia="微软雅黑" w:cs="微软雅黑"/>
        </w:rPr>
        <w:t>▲</w:t>
      </w:r>
      <w:r>
        <w:rPr>
          <w:rFonts w:hint="eastAsia"/>
        </w:rPr>
        <w:t>为保</w:t>
      </w:r>
      <w:r>
        <w:rPr>
          <w:rFonts w:hint="eastAsia"/>
          <w:lang w:val="en-US" w:eastAsia="zh-CN"/>
        </w:rPr>
        <w:t>证消防</w:t>
      </w:r>
      <w:r>
        <w:rPr>
          <w:rFonts w:hint="eastAsia"/>
        </w:rPr>
        <w:t>安全，</w:t>
      </w:r>
      <w:r>
        <w:rPr>
          <w:rFonts w:hint="eastAsia"/>
          <w:lang w:val="en-US" w:eastAsia="zh-CN"/>
        </w:rPr>
        <w:t>LED显示屏</w:t>
      </w:r>
      <w:r>
        <w:rPr>
          <w:rFonts w:hint="eastAsia"/>
        </w:rPr>
        <w:t>需同时通过UL94:2013和GB/T 2408-2021标准的燃烧性能测定，水平燃烧达到HB等级，垂直燃烧达到V-0等级（提供具有CNAS标识的第三方检测机构出具的检测报告，且检测报告内需包含完整燃烧实验过程图片）</w:t>
      </w:r>
    </w:p>
    <w:p w14:paraId="2C1567E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7、</w:t>
      </w:r>
      <w:r>
        <w:rPr>
          <w:rFonts w:hint="eastAsia"/>
        </w:rPr>
        <w:t>为防止辐射污染，LED显示屏通过BS6853有毒烟雾测试，毒性指数R值小于0.5（提供CNAS认证的第三方检测报告</w:t>
      </w:r>
      <w:r>
        <w:rPr>
          <w:rFonts w:hint="eastAsia"/>
          <w:lang w:eastAsia="zh-CN"/>
        </w:rPr>
        <w:t>，</w:t>
      </w:r>
      <w:r>
        <w:rPr>
          <w:rFonts w:hint="eastAsia"/>
          <w:lang w:val="en-US" w:eastAsia="zh-CN"/>
        </w:rPr>
        <w:t>且检测报告中需注明依照的测试标准和测试过程的详细数据</w:t>
      </w:r>
      <w:r>
        <w:rPr>
          <w:rFonts w:hint="eastAsia"/>
        </w:rPr>
        <w:t>）</w:t>
      </w:r>
    </w:p>
    <w:p w14:paraId="4B7CB9B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8、</w:t>
      </w:r>
      <w:r>
        <w:rPr>
          <w:rFonts w:hint="eastAsia"/>
        </w:rPr>
        <w:t>为保证</w:t>
      </w:r>
      <w:r>
        <w:rPr>
          <w:rFonts w:hint="eastAsia"/>
          <w:lang w:val="en-US" w:eastAsia="zh-CN"/>
        </w:rPr>
        <w:t>安全</w:t>
      </w:r>
      <w:r>
        <w:rPr>
          <w:rFonts w:hint="eastAsia"/>
        </w:rPr>
        <w:t>健康，</w:t>
      </w:r>
      <w:r>
        <w:rPr>
          <w:rFonts w:hint="eastAsia"/>
          <w:lang w:val="en-US" w:eastAsia="zh-CN"/>
        </w:rPr>
        <w:t>LED显示屏厂商</w:t>
      </w:r>
      <w:r>
        <w:rPr>
          <w:rFonts w:hint="eastAsia"/>
        </w:rPr>
        <w:t>需通过电气与电子元件和产品有害物质过程控制管理体系符合性认证（提供认证证书）</w:t>
      </w:r>
    </w:p>
    <w:p w14:paraId="3889CE2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r>
        <w:rPr>
          <w:rFonts w:hint="eastAsia"/>
          <w:lang w:val="en-US" w:eastAsia="zh-CN"/>
        </w:rPr>
        <w:t>9、</w:t>
      </w:r>
      <w:r>
        <w:rPr>
          <w:rFonts w:hint="eastAsia"/>
        </w:rPr>
        <w:t>★为保证LED显示系统的可靠性，LED屏需通过可靠性试验，平均无故障时间MTBF≥20万小时（提供封面同时拥有CMA、CAL、CNAS 和 ilac-MRA标识的第三方检测报告</w:t>
      </w:r>
      <w:r>
        <w:rPr>
          <w:rFonts w:hint="eastAsia"/>
          <w:lang w:eastAsia="zh-CN"/>
        </w:rPr>
        <w:t>，</w:t>
      </w:r>
      <w:r>
        <w:rPr>
          <w:rFonts w:hint="eastAsia"/>
          <w:lang w:val="en-US" w:eastAsia="zh-CN"/>
        </w:rPr>
        <w:t>且报告包含完整的测试计算方式</w:t>
      </w:r>
      <w:r>
        <w:rPr>
          <w:rFonts w:hint="eastAsia"/>
        </w:rPr>
        <w:t>）</w:t>
      </w:r>
    </w:p>
    <w:p w14:paraId="5F3284D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r>
        <w:rPr>
          <w:rFonts w:hint="eastAsia"/>
          <w:lang w:val="en-US" w:eastAsia="zh-CN"/>
        </w:rPr>
        <w:t>10、</w:t>
      </w:r>
      <w:r>
        <w:rPr>
          <w:rFonts w:hint="eastAsia"/>
        </w:rPr>
        <w:t>LED显示单元具有可开关功能技术，满足消防排烟通风要求；通过设置开合驱动装置以及压紧装置，解决建筑内表皮或外表皮通风排烟要求；（提供国家级权威部门出具的技术证书）；</w:t>
      </w:r>
    </w:p>
    <w:p w14:paraId="4AAAE80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r>
        <w:rPr>
          <w:rFonts w:hint="eastAsia"/>
        </w:rPr>
        <w:t>1</w:t>
      </w:r>
      <w:r>
        <w:rPr>
          <w:rFonts w:hint="eastAsia"/>
          <w:lang w:val="en-US" w:eastAsia="zh-CN"/>
        </w:rPr>
        <w:t>1、</w:t>
      </w:r>
      <w:r>
        <w:rPr>
          <w:rFonts w:hint="eastAsia"/>
        </w:rPr>
        <w:t>为保证LED系统和其他集成系统之间的对接合理性和稳定性，LED厂商需具有电子通信广电行业(电子系统工程)专业甲级资质。</w:t>
      </w:r>
    </w:p>
    <w:p w14:paraId="6464B95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r>
        <w:rPr>
          <w:rFonts w:hint="eastAsia"/>
        </w:rPr>
        <w:t>1</w:t>
      </w:r>
      <w:r>
        <w:rPr>
          <w:rFonts w:hint="eastAsia"/>
          <w:lang w:val="en-US" w:eastAsia="zh-CN"/>
        </w:rPr>
        <w:t>2</w:t>
      </w:r>
      <w:r>
        <w:rPr>
          <w:rFonts w:hint="eastAsia"/>
        </w:rPr>
        <w:t>、为保证显示系统稳定性，LED 显示屏屏体、播控软件、LED</w:t>
      </w:r>
      <w:r>
        <w:rPr>
          <w:rFonts w:hint="eastAsia"/>
          <w:lang w:val="en-US" w:eastAsia="zh-CN"/>
        </w:rPr>
        <w:t>控制系统</w:t>
      </w:r>
      <w:r>
        <w:rPr>
          <w:rFonts w:hint="eastAsia"/>
        </w:rPr>
        <w:t>为同一制造商或同一品牌（提供3C证书或软著）</w:t>
      </w:r>
    </w:p>
    <w:p w14:paraId="6600335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rPr>
      </w:pPr>
    </w:p>
    <w:p w14:paraId="1022A508">
      <w:pPr>
        <w:widowControl w:val="0"/>
        <w:numPr>
          <w:ilvl w:val="0"/>
          <w:numId w:val="0"/>
        </w:numPr>
        <w:jc w:val="both"/>
        <w:rPr>
          <w:rFonts w:hint="eastAsia" w:eastAsiaTheme="minorEastAsia"/>
          <w:lang w:eastAsia="zh-CN"/>
        </w:rPr>
      </w:pPr>
      <w:r>
        <w:rPr>
          <w:rFonts w:hint="eastAsia" w:eastAsiaTheme="minorEastAsia"/>
          <w:lang w:eastAsia="zh-CN"/>
        </w:rPr>
        <w:drawing>
          <wp:inline distT="0" distB="0" distL="114300" distR="114300">
            <wp:extent cx="4093210" cy="3612515"/>
            <wp:effectExtent l="0" t="0" r="2540" b="6985"/>
            <wp:docPr id="2" name="图片 2" descr="7148dc8f7c4f3573e6708fcc6843b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148dc8f7c4f3573e6708fcc6843b19"/>
                    <pic:cNvPicPr>
                      <a:picLocks noChangeAspect="1"/>
                    </pic:cNvPicPr>
                  </pic:nvPicPr>
                  <pic:blipFill>
                    <a:blip r:embed="rId6"/>
                    <a:stretch>
                      <a:fillRect/>
                    </a:stretch>
                  </pic:blipFill>
                  <pic:spPr>
                    <a:xfrm>
                      <a:off x="0" y="0"/>
                      <a:ext cx="4093210" cy="3612515"/>
                    </a:xfrm>
                    <a:prstGeom prst="rect">
                      <a:avLst/>
                    </a:prstGeom>
                  </pic:spPr>
                </pic:pic>
              </a:graphicData>
            </a:graphic>
          </wp:inline>
        </w:drawing>
      </w:r>
    </w:p>
    <w:p w14:paraId="46FA7E46">
      <w:pPr>
        <w:widowControl w:val="0"/>
        <w:numPr>
          <w:ilvl w:val="0"/>
          <w:numId w:val="0"/>
        </w:numPr>
        <w:jc w:val="both"/>
        <w:rPr>
          <w:rFonts w:hint="eastAsia"/>
        </w:rPr>
      </w:pPr>
    </w:p>
    <w:p w14:paraId="331C5837">
      <w:pPr>
        <w:widowControl w:val="0"/>
        <w:numPr>
          <w:ilvl w:val="0"/>
          <w:numId w:val="0"/>
        </w:numPr>
        <w:jc w:val="both"/>
        <w:rPr>
          <w:rFonts w:hint="eastAsia"/>
        </w:rPr>
      </w:pPr>
    </w:p>
    <w:p w14:paraId="1F32A00D">
      <w:pPr>
        <w:widowControl w:val="0"/>
        <w:numPr>
          <w:ilvl w:val="0"/>
          <w:numId w:val="0"/>
        </w:numPr>
        <w:jc w:val="both"/>
        <w:rPr>
          <w:rFonts w:hint="eastAsia"/>
        </w:rPr>
      </w:pPr>
    </w:p>
    <w:p w14:paraId="4D0AE1E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8"/>
          <w:szCs w:val="28"/>
          <w:lang w:val="en-US" w:eastAsia="zh-CN"/>
        </w:rPr>
      </w:pPr>
    </w:p>
    <w:p w14:paraId="184850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b/>
          <w:bCs/>
          <w:sz w:val="28"/>
          <w:szCs w:val="28"/>
          <w:lang w:val="en-US" w:eastAsia="zh-CN"/>
        </w:rPr>
        <w:t>LED控制系统</w:t>
      </w:r>
    </w:p>
    <w:p w14:paraId="770C4B5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1、设备应为纯硬件FPGA 架构背板等效带宽，不能内置 PC/X86/X64 架构硬件，以避免 X86/X64架构天然存在的计算可靠性和准确性缺陷以及设备运行不稳定问题</w:t>
      </w:r>
    </w:p>
    <w:p w14:paraId="035350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2、输入接口不少于：2路4K@60Hz+4路2K接口，输出接口满足屏体使用需求</w:t>
      </w:r>
    </w:p>
    <w:p w14:paraId="4F552D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3、设备支持任意一路图像在拼接屏的任意位置以任意比例进行开窗、缩放、拉伸、漫游、叠加、跨屏、缩放等功能</w:t>
      </w:r>
    </w:p>
    <w:p w14:paraId="5A061B8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4、设备支持图像无缝实时切换功能，无缝切换时间≤20ms</w:t>
      </w:r>
    </w:p>
    <w:p w14:paraId="6A264B9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5、支持场景保存及快速调用，支持场景轮巡，适应于不同的应用场景</w:t>
      </w:r>
    </w:p>
    <w:p w14:paraId="5D14837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6、支持图像截取功能，可以实现图像重点区域的放大显示或者裁掉信号源的黑边，图像开窗响应速度≤15ms；</w:t>
      </w:r>
    </w:p>
    <w:p w14:paraId="376A74D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以上6条需供第三方权威机构出具的检测报告</w:t>
      </w:r>
    </w:p>
    <w:p w14:paraId="0E56470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7、设备通过可靠性试验，平均无故障时间（MTBF）≥20万小时（提供封面同时拥有CMA、CAL、CNAS 和 ilac-MRA标识的第三方检测报告）。</w:t>
      </w:r>
    </w:p>
    <w:p w14:paraId="146FD62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p>
    <w:p w14:paraId="7F3894B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p>
    <w:p w14:paraId="5ED667B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p>
    <w:p w14:paraId="7B3EB18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b/>
          <w:bCs/>
          <w:sz w:val="28"/>
          <w:szCs w:val="28"/>
          <w:lang w:val="en-US" w:eastAsia="zh-CN"/>
        </w:rPr>
        <w:t>播控软件</w:t>
      </w:r>
    </w:p>
    <w:p w14:paraId="53C390D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1、LED显示屏专用控制软件，具有自动亮度调节、屏体内温湿度显示，具有视频转播功能、远程控制功能，支持文本、图片、视频等各种文件的播放；</w:t>
      </w:r>
    </w:p>
    <w:p w14:paraId="42D1C97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2、为保证采购人在使用本系统时不受到第三方关于软件著作权的知识产权的指控，LED厂商需具有：</w:t>
      </w:r>
    </w:p>
    <w:p w14:paraId="294FA47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（1）可视化（多画面显示）服务平台应用设计与管控系统类软件著作权证书；</w:t>
      </w:r>
    </w:p>
    <w:p w14:paraId="1A309F4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（2）LED 显示屏参数自动存储备份及丢失恢复控制系统类软件著作权证书；</w:t>
      </w:r>
    </w:p>
    <w:p w14:paraId="7C2910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（3）LED 集成管理控制系统类软件著作权证书；</w:t>
      </w:r>
    </w:p>
    <w:p w14:paraId="5AFB254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（4）LED 显示屏显示日志管理（含播放播控、电源、环境管理、视频拼接）系统类软件著作权证书；</w:t>
      </w:r>
    </w:p>
    <w:p w14:paraId="5DA96DD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（5）综合运维服务云平台控制类软件著作权证书；</w:t>
      </w:r>
    </w:p>
    <w:p w14:paraId="698F852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（6）无线智能投播显示系统类软件著作权证书；</w:t>
      </w:r>
    </w:p>
    <w:p w14:paraId="75FE491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sectPr>
          <w:footerReference r:id="rId3" w:type="default"/>
          <w:pgSz w:w="11906" w:h="16838"/>
          <w:pgMar w:top="1440" w:right="1202" w:bottom="1440" w:left="1219" w:header="851" w:footer="992" w:gutter="0"/>
          <w:pgNumType w:fmt="decimal"/>
          <w:cols w:space="425" w:num="1"/>
          <w:docGrid w:type="lines" w:linePitch="312" w:charSpace="0"/>
        </w:sectPr>
      </w:pPr>
    </w:p>
    <w:p w14:paraId="75D7C2B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（7）LED 显示屏智慧物联网系统类软件著作权证书</w:t>
      </w:r>
    </w:p>
    <w:p w14:paraId="04EEF33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b/>
          <w:bCs/>
        </w:rPr>
        <w:t>以上7条需供国家版权局相关的软件著作权证书</w:t>
      </w:r>
    </w:p>
    <w:p w14:paraId="3D76C78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p>
    <w:p w14:paraId="14FDB0A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p>
    <w:p w14:paraId="0EAC450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p>
    <w:p w14:paraId="774C644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sz w:val="28"/>
          <w:szCs w:val="28"/>
          <w:lang w:val="en-US" w:eastAsia="zh-CN"/>
        </w:rPr>
      </w:pPr>
      <w:r>
        <w:rPr>
          <w:rFonts w:hint="eastAsia" w:ascii="宋体" w:hAnsi="宋体" w:eastAsia="宋体" w:cs="宋体"/>
          <w:b/>
          <w:bCs/>
          <w:i w:val="0"/>
          <w:iCs w:val="0"/>
          <w:sz w:val="28"/>
          <w:szCs w:val="28"/>
          <w:lang w:val="en-US" w:eastAsia="zh-CN"/>
        </w:rPr>
        <w:t>智能配电柜</w:t>
      </w:r>
    </w:p>
    <w:p w14:paraId="51FEEA5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1、配电柜具有多功能远程 PLC 控制功能，设置 PLC 输出，可减少供电系统瞬时启动对电网造成的冲击；</w:t>
      </w:r>
    </w:p>
    <w:p w14:paraId="774B705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2、柜体各功能单元门的开启角度应大于90°，转动灵活；</w:t>
      </w:r>
    </w:p>
    <w:p w14:paraId="3399FC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3、具有分布式（手动、远程）上电功能；</w:t>
      </w:r>
    </w:p>
    <w:p w14:paraId="139D549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4、可定时控制任意一路电源的开启和关闭；</w:t>
      </w:r>
    </w:p>
    <w:p w14:paraId="51313EF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rPr>
      </w:pPr>
      <w:r>
        <w:rPr>
          <w:rFonts w:hint="eastAsia" w:ascii="宋体" w:hAnsi="宋体" w:eastAsia="宋体" w:cs="宋体"/>
        </w:rPr>
        <w:t>5、防护等级应达到 IP30。</w:t>
      </w:r>
    </w:p>
    <w:p w14:paraId="606364A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rPr>
      </w:pPr>
      <w:r>
        <w:rPr>
          <w:rFonts w:hint="eastAsia" w:ascii="宋体" w:hAnsi="宋体" w:eastAsia="宋体" w:cs="宋体"/>
          <w:b/>
          <w:bCs/>
        </w:rPr>
        <w:t>以上参数需提供第三方权威机构的检测报告</w:t>
      </w:r>
    </w:p>
    <w:p w14:paraId="6ADFD25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rPr>
      </w:pPr>
    </w:p>
    <w:p w14:paraId="51A8F5F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b/>
          <w:bCs/>
          <w:sz w:val="28"/>
          <w:szCs w:val="28"/>
          <w:lang w:val="en-US" w:eastAsia="zh-CN"/>
        </w:rPr>
        <w:t>结构支架</w:t>
      </w:r>
    </w:p>
    <w:p w14:paraId="40F1DA8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1、拼接屏框架：按设计图进行施工,材料采用国标镀锌材料，特殊要求可根据现场具体情况及施工图纸而定；</w:t>
      </w:r>
    </w:p>
    <w:p w14:paraId="3475549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 xml:space="preserve">2、采用Q2358标准镀锌方管，平整度好，高精度连接校准；屏体主结构采用镀锌钢管制成，防腐防锈处理，主框架和辅框架需满足产品安装和安全要求 </w:t>
      </w:r>
    </w:p>
    <w:p w14:paraId="1A95FAA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3、为保证安装质量，供应商需具有有效期内的钢结构叁级专业承包资质证书</w:t>
      </w:r>
    </w:p>
    <w:p w14:paraId="4E75B3C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p>
    <w:p w14:paraId="1172455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b/>
          <w:bCs/>
          <w:sz w:val="28"/>
          <w:szCs w:val="28"/>
          <w:lang w:val="en-US" w:eastAsia="zh-CN"/>
        </w:rPr>
        <w:t>线缆</w:t>
      </w:r>
    </w:p>
    <w:p w14:paraId="4644EE7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lang w:val="en-US" w:eastAsia="zh-CN"/>
        </w:rPr>
      </w:pPr>
      <w:r>
        <w:rPr>
          <w:rFonts w:hint="eastAsia" w:ascii="宋体" w:hAnsi="宋体" w:eastAsia="宋体" w:cs="宋体"/>
          <w:lang w:val="en-US" w:eastAsia="zh-CN"/>
        </w:rPr>
        <w:t>包含显示屏的强弱电线缆（距离机房及强电取电点约10米）及各类配套设备间的连接线缆。</w:t>
      </w:r>
    </w:p>
    <w:p w14:paraId="13D9B07A">
      <w:pPr>
        <w:widowControl w:val="0"/>
        <w:numPr>
          <w:ilvl w:val="0"/>
          <w:numId w:val="0"/>
        </w:numPr>
        <w:jc w:val="both"/>
        <w:rPr>
          <w:rFonts w:hint="default"/>
          <w:lang w:val="en-US" w:eastAsia="zh-CN"/>
        </w:rPr>
      </w:pPr>
    </w:p>
    <w:p w14:paraId="54F4585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电子数字万年历挂钟</w:t>
      </w:r>
    </w:p>
    <w:p w14:paraId="7F3FEAF7">
      <w:pPr>
        <w:widowControl w:val="0"/>
        <w:numPr>
          <w:ilvl w:val="0"/>
          <w:numId w:val="0"/>
        </w:numPr>
        <w:jc w:val="both"/>
        <w:rPr>
          <w:rFonts w:hint="default" w:eastAsiaTheme="minorEastAsia"/>
          <w:lang w:val="en-US" w:eastAsia="zh-CN"/>
        </w:rPr>
      </w:pPr>
      <w:r>
        <w:rPr>
          <w:rFonts w:hint="eastAsia"/>
          <w:lang w:val="en-US" w:eastAsia="zh-CN"/>
        </w:rPr>
        <w:t>电子数字万年历挂钟（显示年月日时分秒等），尺寸大小51*85cm。</w:t>
      </w:r>
    </w:p>
    <w:p w14:paraId="0D3635D8">
      <w:pPr>
        <w:widowControl w:val="0"/>
        <w:numPr>
          <w:ilvl w:val="0"/>
          <w:numId w:val="0"/>
        </w:numPr>
        <w:jc w:val="both"/>
        <w:rPr>
          <w:rFonts w:hint="eastAsia"/>
        </w:rPr>
      </w:pPr>
    </w:p>
    <w:p w14:paraId="4FF789AE">
      <w:pPr>
        <w:widowControl w:val="0"/>
        <w:numPr>
          <w:ilvl w:val="0"/>
          <w:numId w:val="0"/>
        </w:numPr>
        <w:jc w:val="both"/>
        <w:rPr>
          <w:rFonts w:hint="eastAsia"/>
        </w:rPr>
      </w:pPr>
    </w:p>
    <w:p w14:paraId="11494064">
      <w:pPr>
        <w:widowControl w:val="0"/>
        <w:numPr>
          <w:ilvl w:val="0"/>
          <w:numId w:val="0"/>
        </w:numPr>
        <w:jc w:val="both"/>
        <w:rPr>
          <w:rFonts w:hint="eastAsia"/>
        </w:rPr>
      </w:pPr>
    </w:p>
    <w:p w14:paraId="3D1E9946">
      <w:pPr>
        <w:widowControl w:val="0"/>
        <w:numPr>
          <w:ilvl w:val="0"/>
          <w:numId w:val="0"/>
        </w:numPr>
        <w:jc w:val="both"/>
        <w:rPr>
          <w:rFonts w:hint="eastAsia"/>
        </w:rPr>
      </w:pPr>
    </w:p>
    <w:p w14:paraId="11AEAC41">
      <w:pPr>
        <w:widowControl w:val="0"/>
        <w:numPr>
          <w:ilvl w:val="0"/>
          <w:numId w:val="0"/>
        </w:numPr>
        <w:jc w:val="both"/>
        <w:rPr>
          <w:rFonts w:hint="eastAsia"/>
        </w:rPr>
      </w:pPr>
    </w:p>
    <w:p w14:paraId="4880236F">
      <w:pPr>
        <w:widowControl w:val="0"/>
        <w:numPr>
          <w:ilvl w:val="0"/>
          <w:numId w:val="0"/>
        </w:numPr>
        <w:jc w:val="both"/>
        <w:rPr>
          <w:rFonts w:hint="eastAsia"/>
        </w:rPr>
      </w:pPr>
    </w:p>
    <w:p w14:paraId="231B5FB6">
      <w:pPr>
        <w:widowControl w:val="0"/>
        <w:numPr>
          <w:ilvl w:val="0"/>
          <w:numId w:val="0"/>
        </w:numPr>
        <w:jc w:val="both"/>
        <w:rPr>
          <w:rFonts w:hint="eastAsia"/>
        </w:rPr>
      </w:pPr>
      <w:bookmarkStart w:id="0" w:name="_GoBack"/>
      <w:bookmarkEnd w:id="0"/>
    </w:p>
    <w:p w14:paraId="1F35CA6C">
      <w:pPr>
        <w:widowControl w:val="0"/>
        <w:numPr>
          <w:ilvl w:val="0"/>
          <w:numId w:val="0"/>
        </w:numPr>
        <w:jc w:val="both"/>
        <w:rPr>
          <w:rFonts w:hint="eastAsia"/>
        </w:rPr>
      </w:pPr>
    </w:p>
    <w:p w14:paraId="528DF320">
      <w:pPr>
        <w:widowControl w:val="0"/>
        <w:numPr>
          <w:ilvl w:val="0"/>
          <w:numId w:val="0"/>
        </w:numPr>
        <w:jc w:val="both"/>
        <w:rPr>
          <w:rFonts w:hint="eastAsia"/>
        </w:rPr>
      </w:pPr>
    </w:p>
    <w:p w14:paraId="7BA7A0F7">
      <w:pPr>
        <w:widowControl w:val="0"/>
        <w:numPr>
          <w:ilvl w:val="0"/>
          <w:numId w:val="0"/>
        </w:numPr>
        <w:jc w:val="both"/>
        <w:rPr>
          <w:rFonts w:hint="eastAsia"/>
        </w:rPr>
      </w:pPr>
    </w:p>
    <w:p w14:paraId="227BE92D">
      <w:pPr>
        <w:widowControl w:val="0"/>
        <w:numPr>
          <w:ilvl w:val="0"/>
          <w:numId w:val="0"/>
        </w:numPr>
        <w:jc w:val="both"/>
        <w:rPr>
          <w:rFonts w:hint="eastAsia"/>
        </w:rPr>
      </w:pPr>
    </w:p>
    <w:p w14:paraId="420C8E35">
      <w:pPr>
        <w:widowControl w:val="0"/>
        <w:numPr>
          <w:ilvl w:val="0"/>
          <w:numId w:val="0"/>
        </w:numPr>
        <w:jc w:val="both"/>
        <w:rPr>
          <w:rFonts w:hint="eastAsia"/>
        </w:rPr>
      </w:pPr>
    </w:p>
    <w:p w14:paraId="0FBC25D5">
      <w:pPr>
        <w:widowControl w:val="0"/>
        <w:numPr>
          <w:ilvl w:val="0"/>
          <w:numId w:val="0"/>
        </w:numPr>
        <w:jc w:val="both"/>
        <w:rPr>
          <w:rFonts w:hint="eastAsia"/>
        </w:rPr>
      </w:pPr>
    </w:p>
    <w:p w14:paraId="1DE66626">
      <w:pPr>
        <w:widowControl w:val="0"/>
        <w:numPr>
          <w:ilvl w:val="0"/>
          <w:numId w:val="0"/>
        </w:numPr>
        <w:jc w:val="both"/>
        <w:rPr>
          <w:rFonts w:hint="eastAsia"/>
        </w:rPr>
      </w:pPr>
    </w:p>
    <w:p w14:paraId="73B89344">
      <w:pPr>
        <w:widowControl w:val="0"/>
        <w:numPr>
          <w:ilvl w:val="0"/>
          <w:numId w:val="0"/>
        </w:numPr>
        <w:jc w:val="both"/>
        <w:rPr>
          <w:rFonts w:hint="eastAsia"/>
        </w:rPr>
      </w:pPr>
    </w:p>
    <w:p w14:paraId="7D92A273">
      <w:pPr>
        <w:widowControl w:val="0"/>
        <w:numPr>
          <w:ilvl w:val="0"/>
          <w:numId w:val="0"/>
        </w:numPr>
        <w:jc w:val="both"/>
        <w:rPr>
          <w:rFonts w:hint="eastAsia"/>
        </w:rPr>
      </w:pPr>
    </w:p>
    <w:p w14:paraId="1D6AD464">
      <w:pPr>
        <w:widowControl w:val="0"/>
        <w:numPr>
          <w:ilvl w:val="0"/>
          <w:numId w:val="0"/>
        </w:numPr>
        <w:jc w:val="both"/>
        <w:rPr>
          <w:rFonts w:hint="eastAsia"/>
        </w:rPr>
      </w:pPr>
    </w:p>
    <w:p w14:paraId="03AC0D9D">
      <w:pPr>
        <w:widowControl w:val="0"/>
        <w:numPr>
          <w:ilvl w:val="0"/>
          <w:numId w:val="0"/>
        </w:numPr>
        <w:jc w:val="both"/>
        <w:rPr>
          <w:rFonts w:hint="eastAsia"/>
        </w:rPr>
      </w:pPr>
    </w:p>
    <w:p w14:paraId="36068AFF">
      <w:pPr>
        <w:widowControl w:val="0"/>
        <w:numPr>
          <w:ilvl w:val="0"/>
          <w:numId w:val="0"/>
        </w:numPr>
        <w:jc w:val="both"/>
        <w:rPr>
          <w:rFonts w:hint="eastAsia"/>
        </w:rPr>
      </w:pPr>
    </w:p>
    <w:p w14:paraId="1F17B3D8">
      <w:pPr>
        <w:widowControl w:val="0"/>
        <w:numPr>
          <w:ilvl w:val="0"/>
          <w:numId w:val="0"/>
        </w:numPr>
        <w:jc w:val="both"/>
        <w:rPr>
          <w:rFonts w:hint="eastAsia"/>
        </w:rPr>
      </w:pPr>
    </w:p>
    <w:p w14:paraId="01DA320B">
      <w:pPr>
        <w:widowControl w:val="0"/>
        <w:numPr>
          <w:ilvl w:val="0"/>
          <w:numId w:val="0"/>
        </w:numPr>
        <w:jc w:val="both"/>
        <w:rPr>
          <w:rFonts w:hint="eastAsia"/>
        </w:rPr>
      </w:pPr>
    </w:p>
    <w:p w14:paraId="2846652E">
      <w:pPr>
        <w:widowControl w:val="0"/>
        <w:numPr>
          <w:ilvl w:val="0"/>
          <w:numId w:val="0"/>
        </w:numPr>
        <w:jc w:val="both"/>
        <w:rPr>
          <w:rFonts w:hint="eastAsia"/>
        </w:rPr>
      </w:pPr>
    </w:p>
    <w:p w14:paraId="68940653">
      <w:pPr>
        <w:widowControl w:val="0"/>
        <w:numPr>
          <w:ilvl w:val="0"/>
          <w:numId w:val="0"/>
        </w:numPr>
        <w:jc w:val="both"/>
        <w:rPr>
          <w:rFonts w:hint="eastAsia"/>
        </w:rPr>
      </w:pPr>
    </w:p>
    <w:p w14:paraId="18B51C83">
      <w:pPr>
        <w:widowControl w:val="0"/>
        <w:numPr>
          <w:ilvl w:val="0"/>
          <w:numId w:val="0"/>
        </w:numPr>
        <w:jc w:val="both"/>
        <w:rPr>
          <w:rFonts w:hint="eastAsia"/>
        </w:rPr>
      </w:pPr>
    </w:p>
    <w:p w14:paraId="114728D5">
      <w:pPr>
        <w:widowControl w:val="0"/>
        <w:numPr>
          <w:ilvl w:val="0"/>
          <w:numId w:val="0"/>
        </w:numPr>
        <w:jc w:val="both"/>
        <w:rPr>
          <w:rFonts w:hint="eastAsia"/>
        </w:rPr>
      </w:pPr>
    </w:p>
    <w:p w14:paraId="4591C0AC">
      <w:pPr>
        <w:widowControl w:val="0"/>
        <w:numPr>
          <w:ilvl w:val="0"/>
          <w:numId w:val="0"/>
        </w:numPr>
        <w:jc w:val="both"/>
        <w:rPr>
          <w:rFonts w:hint="eastAsia"/>
        </w:rPr>
      </w:pPr>
    </w:p>
    <w:p w14:paraId="3895702E">
      <w:pPr>
        <w:widowControl w:val="0"/>
        <w:numPr>
          <w:ilvl w:val="0"/>
          <w:numId w:val="0"/>
        </w:numPr>
        <w:jc w:val="both"/>
        <w:rPr>
          <w:rFonts w:hint="eastAsia"/>
        </w:rPr>
      </w:pPr>
    </w:p>
    <w:p w14:paraId="1DA9B5C2">
      <w:pPr>
        <w:widowControl w:val="0"/>
        <w:numPr>
          <w:ilvl w:val="0"/>
          <w:numId w:val="0"/>
        </w:numPr>
        <w:jc w:val="both"/>
        <w:rPr>
          <w:rFonts w:hint="eastAsia"/>
        </w:rPr>
      </w:pPr>
    </w:p>
    <w:p w14:paraId="76ACE954">
      <w:pPr>
        <w:widowControl w:val="0"/>
        <w:numPr>
          <w:ilvl w:val="0"/>
          <w:numId w:val="0"/>
        </w:numPr>
        <w:jc w:val="both"/>
        <w:rPr>
          <w:rFonts w:hint="eastAsia"/>
        </w:rPr>
      </w:pPr>
    </w:p>
    <w:p w14:paraId="2B814FDD">
      <w:pPr>
        <w:widowControl w:val="0"/>
        <w:numPr>
          <w:ilvl w:val="0"/>
          <w:numId w:val="0"/>
        </w:numPr>
        <w:jc w:val="both"/>
        <w:rPr>
          <w:rFonts w:hint="eastAsia"/>
        </w:rPr>
      </w:pPr>
    </w:p>
    <w:p w14:paraId="0801BACF">
      <w:pPr>
        <w:widowControl w:val="0"/>
        <w:numPr>
          <w:ilvl w:val="0"/>
          <w:numId w:val="0"/>
        </w:numPr>
        <w:jc w:val="both"/>
        <w:rPr>
          <w:rFonts w:hint="eastAsia"/>
        </w:rPr>
      </w:pPr>
    </w:p>
    <w:p w14:paraId="0661CD5C">
      <w:pPr>
        <w:widowControl w:val="0"/>
        <w:numPr>
          <w:ilvl w:val="0"/>
          <w:numId w:val="0"/>
        </w:numPr>
        <w:jc w:val="both"/>
        <w:rPr>
          <w:rFonts w:hint="eastAsia"/>
        </w:rPr>
      </w:pPr>
    </w:p>
    <w:p w14:paraId="38EC1956">
      <w:pPr>
        <w:widowControl w:val="0"/>
        <w:numPr>
          <w:ilvl w:val="0"/>
          <w:numId w:val="0"/>
        </w:numPr>
        <w:jc w:val="both"/>
        <w:rPr>
          <w:rFonts w:hint="eastAsia"/>
        </w:rPr>
      </w:pPr>
    </w:p>
    <w:p w14:paraId="30EB59F6">
      <w:pPr>
        <w:widowControl w:val="0"/>
        <w:numPr>
          <w:ilvl w:val="0"/>
          <w:numId w:val="0"/>
        </w:numPr>
        <w:jc w:val="both"/>
        <w:rPr>
          <w:rFonts w:hint="eastAsia"/>
        </w:rPr>
      </w:pPr>
    </w:p>
    <w:p w14:paraId="370CCD15">
      <w:pPr>
        <w:widowControl w:val="0"/>
        <w:numPr>
          <w:ilvl w:val="0"/>
          <w:numId w:val="0"/>
        </w:numPr>
        <w:jc w:val="both"/>
        <w:rPr>
          <w:rFonts w:hint="eastAsia"/>
        </w:rPr>
      </w:pPr>
    </w:p>
    <w:p w14:paraId="638E313C">
      <w:pPr>
        <w:widowControl w:val="0"/>
        <w:numPr>
          <w:ilvl w:val="0"/>
          <w:numId w:val="0"/>
        </w:numPr>
        <w:jc w:val="both"/>
        <w:rPr>
          <w:rFonts w:hint="eastAsia"/>
        </w:rPr>
      </w:pPr>
    </w:p>
    <w:p w14:paraId="0D4EDFC2">
      <w:pPr>
        <w:widowControl w:val="0"/>
        <w:numPr>
          <w:ilvl w:val="0"/>
          <w:numId w:val="0"/>
        </w:numPr>
        <w:jc w:val="both"/>
        <w:rPr>
          <w:rFonts w:hint="eastAsia"/>
        </w:rPr>
      </w:pPr>
    </w:p>
    <w:p w14:paraId="09CE194F">
      <w:pPr>
        <w:widowControl w:val="0"/>
        <w:numPr>
          <w:ilvl w:val="0"/>
          <w:numId w:val="0"/>
        </w:numPr>
        <w:jc w:val="both"/>
        <w:rPr>
          <w:rFonts w:hint="eastAsia"/>
        </w:rPr>
      </w:pPr>
    </w:p>
    <w:p w14:paraId="7B27F0F4">
      <w:pPr>
        <w:widowControl w:val="0"/>
        <w:numPr>
          <w:ilvl w:val="0"/>
          <w:numId w:val="0"/>
        </w:numPr>
        <w:jc w:val="both"/>
        <w:rPr>
          <w:rFonts w:hint="eastAsia"/>
        </w:rPr>
      </w:pPr>
    </w:p>
    <w:sectPr>
      <w:footerReference r:id="rId4" w:type="default"/>
      <w:pgSz w:w="11906" w:h="16838"/>
      <w:pgMar w:top="1440" w:right="1202" w:bottom="1440" w:left="1219" w:header="851" w:footer="992" w:gutter="0"/>
      <w:pgNumType w:fmt="decimal" w:start="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85BB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B6A47C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0B6A47C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400D5">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6BAFA6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76BAFA6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94145"/>
    <w:multiLevelType w:val="singleLevel"/>
    <w:tmpl w:val="0869414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B30A8"/>
    <w:rsid w:val="036215B2"/>
    <w:rsid w:val="0364049D"/>
    <w:rsid w:val="0A146CB1"/>
    <w:rsid w:val="21EB30A8"/>
    <w:rsid w:val="23FB4EB2"/>
    <w:rsid w:val="37BF52F3"/>
    <w:rsid w:val="3881462B"/>
    <w:rsid w:val="39EA6A60"/>
    <w:rsid w:val="43A4585B"/>
    <w:rsid w:val="491C6B61"/>
    <w:rsid w:val="4D673EC9"/>
    <w:rsid w:val="52D603D5"/>
    <w:rsid w:val="57353EA9"/>
    <w:rsid w:val="601B069C"/>
    <w:rsid w:val="620603E1"/>
    <w:rsid w:val="622832F3"/>
    <w:rsid w:val="6B640665"/>
    <w:rsid w:val="6F80356F"/>
    <w:rsid w:val="714B1AAD"/>
    <w:rsid w:val="71E11067"/>
    <w:rsid w:val="7F0F7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Table Paragraph"/>
    <w:basedOn w:val="1"/>
    <w:qFormat/>
    <w:uiPriority w:val="1"/>
  </w:style>
  <w:style w:type="paragraph" w:customStyle="1" w:styleId="7">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2946</Words>
  <Characters>3414</Characters>
  <Lines>0</Lines>
  <Paragraphs>0</Paragraphs>
  <TotalTime>15</TotalTime>
  <ScaleCrop>false</ScaleCrop>
  <LinksUpToDate>false</LinksUpToDate>
  <CharactersWithSpaces>3440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2025-02-23T10:35:00Z</dcterms:created>
  <dc:creator>丁琦</dc:creator>
  <cp:lastModifiedBy>rongrong</cp:lastModifiedBy>
  <dcterms:modified xsi:type="dcterms:W3CDTF">2025-03-01T00:56:26Z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92111E4EB51745D1A1496E11E0453EBB_13</vt:lpwstr>
  </property>
  <property fmtid="{D5CDD505-2E9C-101B-9397-08002B2CF9AE}" pid="4" name="KSOTemplateDocerSaveRecord">
    <vt:lpwstr>eyJoZGlkIjoiYTEzMTZkZGIxZjA1MWMzMjExNzRiZjdkODUzMmU4NDAiLCJ1c2VySWQiOiIyNTA4MDQ2NTUifQ==</vt:lpwstr>
  </property>
</Properties>
</file>