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F2F4F7">
      <w:pPr>
        <w:jc w:val="center"/>
        <w:rPr>
          <w:rFonts w:ascii="宋体" w:hAnsi="宋体"/>
          <w:b/>
          <w:sz w:val="44"/>
          <w:szCs w:val="44"/>
          <w:lang w:val="zh-CN"/>
        </w:rPr>
      </w:pPr>
      <w:r>
        <w:rPr>
          <w:rFonts w:hint="eastAsia" w:ascii="宋体" w:hAnsi="宋体"/>
          <w:b/>
          <w:sz w:val="44"/>
          <w:szCs w:val="44"/>
          <w:lang w:val="zh-CN"/>
        </w:rPr>
        <w:t>江苏省第二中医院外网安全设备更新项目</w:t>
      </w:r>
    </w:p>
    <w:p w14:paraId="51D460E7">
      <w:pPr>
        <w:jc w:val="center"/>
        <w:rPr>
          <w:rFonts w:ascii="宋体" w:hAnsi="宋体"/>
          <w:color w:val="000000"/>
          <w:sz w:val="44"/>
          <w:szCs w:val="44"/>
          <w:lang w:val="zh-CN"/>
        </w:rPr>
      </w:pPr>
      <w:r>
        <w:rPr>
          <w:rFonts w:hint="eastAsia" w:ascii="宋体" w:hAnsi="宋体"/>
          <w:b/>
          <w:sz w:val="44"/>
          <w:szCs w:val="44"/>
          <w:lang w:val="zh-CN"/>
        </w:rPr>
        <w:t>调研内容</w:t>
      </w:r>
    </w:p>
    <w:p w14:paraId="6E1128CA">
      <w:pPr>
        <w:autoSpaceDE w:val="0"/>
        <w:autoSpaceDN w:val="0"/>
        <w:adjustRightInd w:val="0"/>
        <w:jc w:val="left"/>
        <w:rPr>
          <w:rFonts w:ascii="宋体" w:hAnsi="宋体"/>
          <w:color w:val="000000"/>
          <w:sz w:val="32"/>
          <w:szCs w:val="32"/>
          <w:lang w:val="zh-CN"/>
        </w:rPr>
      </w:pPr>
    </w:p>
    <w:p w14:paraId="356DDD0E">
      <w:pPr>
        <w:autoSpaceDE w:val="0"/>
        <w:autoSpaceDN w:val="0"/>
        <w:adjustRightInd w:val="0"/>
        <w:jc w:val="left"/>
        <w:rPr>
          <w:rFonts w:ascii="宋体" w:hAnsi="宋体"/>
          <w:color w:val="000000"/>
          <w:sz w:val="32"/>
          <w:szCs w:val="32"/>
          <w:lang w:val="zh-CN"/>
        </w:rPr>
      </w:pPr>
    </w:p>
    <w:p w14:paraId="70C427FC">
      <w:pPr>
        <w:spacing w:line="480" w:lineRule="auto"/>
        <w:rPr>
          <w:rFonts w:ascii="宋体" w:hAnsi="宋体"/>
          <w:sz w:val="32"/>
          <w:szCs w:val="32"/>
        </w:rPr>
      </w:pPr>
    </w:p>
    <w:p w14:paraId="7E3A1591">
      <w:pPr>
        <w:tabs>
          <w:tab w:val="left" w:pos="4500"/>
        </w:tabs>
        <w:autoSpaceDE w:val="0"/>
        <w:autoSpaceDN w:val="0"/>
        <w:adjustRightInd w:val="0"/>
        <w:jc w:val="center"/>
        <w:rPr>
          <w:rFonts w:ascii="宋体" w:hAnsi="宋体"/>
          <w:color w:val="000000"/>
          <w:sz w:val="44"/>
          <w:szCs w:val="44"/>
          <w:lang w:val="zh-CN"/>
        </w:rPr>
      </w:pPr>
    </w:p>
    <w:p w14:paraId="0BA1C899">
      <w:pPr>
        <w:tabs>
          <w:tab w:val="left" w:pos="4500"/>
        </w:tabs>
        <w:autoSpaceDE w:val="0"/>
        <w:autoSpaceDN w:val="0"/>
        <w:adjustRightInd w:val="0"/>
        <w:jc w:val="center"/>
        <w:rPr>
          <w:rFonts w:ascii="宋体" w:hAnsi="宋体"/>
          <w:color w:val="000000"/>
          <w:sz w:val="44"/>
          <w:szCs w:val="44"/>
          <w:lang w:val="zh-CN"/>
        </w:rPr>
      </w:pPr>
    </w:p>
    <w:p w14:paraId="72DC64A6">
      <w:pPr>
        <w:tabs>
          <w:tab w:val="left" w:pos="4500"/>
        </w:tabs>
        <w:autoSpaceDE w:val="0"/>
        <w:autoSpaceDN w:val="0"/>
        <w:adjustRightInd w:val="0"/>
        <w:jc w:val="center"/>
        <w:rPr>
          <w:rFonts w:ascii="宋体" w:hAnsi="宋体"/>
          <w:color w:val="000000"/>
          <w:sz w:val="44"/>
          <w:szCs w:val="44"/>
          <w:lang w:val="zh-CN"/>
        </w:rPr>
      </w:pPr>
      <w:bookmarkStart w:id="2" w:name="_GoBack"/>
      <w:bookmarkEnd w:id="2"/>
    </w:p>
    <w:p w14:paraId="0D7ED77E">
      <w:pPr>
        <w:tabs>
          <w:tab w:val="left" w:pos="4500"/>
        </w:tabs>
        <w:autoSpaceDE w:val="0"/>
        <w:autoSpaceDN w:val="0"/>
        <w:adjustRightInd w:val="0"/>
        <w:spacing w:line="480" w:lineRule="auto"/>
        <w:rPr>
          <w:rFonts w:ascii="宋体" w:hAnsi="宋体"/>
          <w:color w:val="000000"/>
          <w:sz w:val="36"/>
          <w:szCs w:val="36"/>
          <w:lang w:val="zh-CN"/>
        </w:rPr>
      </w:pPr>
    </w:p>
    <w:p w14:paraId="1681B8CF">
      <w:pPr>
        <w:tabs>
          <w:tab w:val="left" w:pos="4500"/>
        </w:tabs>
        <w:autoSpaceDE w:val="0"/>
        <w:autoSpaceDN w:val="0"/>
        <w:adjustRightInd w:val="0"/>
        <w:spacing w:line="480" w:lineRule="auto"/>
        <w:rPr>
          <w:rFonts w:ascii="宋体" w:hAnsi="宋体"/>
          <w:color w:val="000000"/>
          <w:sz w:val="36"/>
          <w:szCs w:val="36"/>
          <w:lang w:val="zh-CN"/>
        </w:rPr>
      </w:pPr>
    </w:p>
    <w:p w14:paraId="4DBE43DF">
      <w:pPr>
        <w:tabs>
          <w:tab w:val="left" w:pos="4500"/>
        </w:tabs>
        <w:autoSpaceDE w:val="0"/>
        <w:autoSpaceDN w:val="0"/>
        <w:adjustRightInd w:val="0"/>
        <w:spacing w:line="480" w:lineRule="auto"/>
        <w:rPr>
          <w:rFonts w:ascii="宋体" w:hAnsi="宋体"/>
          <w:color w:val="000000"/>
          <w:sz w:val="36"/>
          <w:szCs w:val="36"/>
          <w:lang w:val="zh-CN"/>
        </w:rPr>
      </w:pPr>
    </w:p>
    <w:p w14:paraId="48FFDB57">
      <w:pPr>
        <w:tabs>
          <w:tab w:val="left" w:pos="4500"/>
        </w:tabs>
        <w:autoSpaceDE w:val="0"/>
        <w:autoSpaceDN w:val="0"/>
        <w:adjustRightInd w:val="0"/>
        <w:spacing w:line="480" w:lineRule="auto"/>
        <w:rPr>
          <w:rFonts w:ascii="宋体" w:hAnsi="宋体"/>
          <w:color w:val="000000"/>
          <w:sz w:val="36"/>
          <w:szCs w:val="36"/>
          <w:lang w:val="zh-CN"/>
        </w:rPr>
      </w:pPr>
    </w:p>
    <w:p w14:paraId="2D729DFF">
      <w:pPr>
        <w:pStyle w:val="3"/>
        <w:spacing w:before="0" w:after="0" w:line="560" w:lineRule="exact"/>
        <w:ind w:firstLine="2650" w:firstLineChars="600"/>
        <w:rPr>
          <w:rFonts w:ascii="宋体" w:hAnsi="宋体"/>
        </w:rPr>
      </w:pPr>
      <w:bookmarkStart w:id="0" w:name="_Toc465785684"/>
      <w:r>
        <w:rPr>
          <w:rFonts w:ascii="宋体" w:hAnsi="宋体"/>
          <w:lang w:val="zh-CN"/>
        </w:rPr>
        <w:br w:type="page"/>
      </w:r>
      <w:bookmarkEnd w:id="0"/>
    </w:p>
    <w:p w14:paraId="1601A261">
      <w:pPr>
        <w:spacing w:line="560" w:lineRule="exact"/>
        <w:rPr>
          <w:rFonts w:ascii="宋体" w:hAnsi="宋体" w:cs="仿宋_GB2312"/>
          <w:b/>
          <w:bCs/>
          <w:color w:val="000000"/>
          <w:sz w:val="28"/>
          <w:szCs w:val="28"/>
        </w:rPr>
      </w:pPr>
      <w:bookmarkStart w:id="1" w:name="_Toc465785687"/>
      <w:r>
        <w:rPr>
          <w:rFonts w:hint="eastAsia" w:ascii="宋体" w:hAnsi="宋体" w:cs="仿宋_GB2312"/>
          <w:b/>
          <w:bCs/>
          <w:color w:val="000000"/>
          <w:sz w:val="28"/>
          <w:szCs w:val="28"/>
        </w:rPr>
        <w:t>一、产品清单</w:t>
      </w:r>
    </w:p>
    <w:p w14:paraId="3F7E0A2C">
      <w:pPr>
        <w:pStyle w:val="7"/>
        <w:tabs>
          <w:tab w:val="left" w:pos="692"/>
          <w:tab w:val="left" w:pos="872"/>
          <w:tab w:val="left" w:pos="1050"/>
        </w:tabs>
        <w:autoSpaceDE w:val="0"/>
        <w:autoSpaceDN w:val="0"/>
        <w:adjustRightInd w:val="0"/>
        <w:snapToGrid w:val="0"/>
        <w:spacing w:line="360" w:lineRule="auto"/>
        <w:rPr>
          <w:rFonts w:ascii="宋体" w:hAnsi="宋体"/>
          <w:sz w:val="24"/>
        </w:rPr>
      </w:pPr>
    </w:p>
    <w:tbl>
      <w:tblPr>
        <w:tblStyle w:val="5"/>
        <w:tblW w:w="783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6"/>
        <w:gridCol w:w="3105"/>
        <w:gridCol w:w="2217"/>
        <w:gridCol w:w="934"/>
        <w:gridCol w:w="733"/>
      </w:tblGrid>
      <w:tr w14:paraId="507826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Align w:val="center"/>
          </w:tcPr>
          <w:p w14:paraId="59DE0881">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序号</w:t>
            </w:r>
          </w:p>
        </w:tc>
        <w:tc>
          <w:tcPr>
            <w:tcW w:w="3105" w:type="dxa"/>
            <w:vAlign w:val="center"/>
          </w:tcPr>
          <w:p w14:paraId="30F49470">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产品</w:t>
            </w:r>
          </w:p>
        </w:tc>
        <w:tc>
          <w:tcPr>
            <w:tcW w:w="2217" w:type="dxa"/>
            <w:vAlign w:val="center"/>
          </w:tcPr>
          <w:p w14:paraId="320224A1">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采购要求</w:t>
            </w:r>
          </w:p>
        </w:tc>
        <w:tc>
          <w:tcPr>
            <w:tcW w:w="934" w:type="dxa"/>
            <w:vAlign w:val="center"/>
          </w:tcPr>
          <w:p w14:paraId="65C41163">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数量</w:t>
            </w:r>
          </w:p>
        </w:tc>
        <w:tc>
          <w:tcPr>
            <w:tcW w:w="733" w:type="dxa"/>
            <w:vAlign w:val="center"/>
          </w:tcPr>
          <w:p w14:paraId="029C4090">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单位</w:t>
            </w:r>
          </w:p>
        </w:tc>
      </w:tr>
      <w:tr w14:paraId="6889C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Align w:val="center"/>
          </w:tcPr>
          <w:p w14:paraId="60710C21">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1</w:t>
            </w:r>
          </w:p>
        </w:tc>
        <w:tc>
          <w:tcPr>
            <w:tcW w:w="3105" w:type="dxa"/>
            <w:vAlign w:val="center"/>
          </w:tcPr>
          <w:p w14:paraId="6C88FC2B">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等保测评</w:t>
            </w:r>
          </w:p>
        </w:tc>
        <w:tc>
          <w:tcPr>
            <w:tcW w:w="2217" w:type="dxa"/>
          </w:tcPr>
          <w:p w14:paraId="2B767067">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查看现场</w:t>
            </w:r>
          </w:p>
        </w:tc>
        <w:tc>
          <w:tcPr>
            <w:tcW w:w="934" w:type="dxa"/>
            <w:vAlign w:val="center"/>
          </w:tcPr>
          <w:p w14:paraId="264C2C13">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3</w:t>
            </w:r>
          </w:p>
        </w:tc>
        <w:tc>
          <w:tcPr>
            <w:tcW w:w="733" w:type="dxa"/>
          </w:tcPr>
          <w:p w14:paraId="7B88D718">
            <w:pPr>
              <w:jc w:val="center"/>
              <w:rPr>
                <w:rFonts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套</w:t>
            </w:r>
          </w:p>
        </w:tc>
      </w:tr>
      <w:tr w14:paraId="3BD31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Align w:val="center"/>
          </w:tcPr>
          <w:p w14:paraId="6CDBCA03">
            <w:pPr>
              <w:jc w:val="center"/>
              <w:rPr>
                <w:rFonts w:hint="eastAsia"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2</w:t>
            </w:r>
          </w:p>
        </w:tc>
        <w:tc>
          <w:tcPr>
            <w:tcW w:w="3105" w:type="dxa"/>
            <w:vAlign w:val="center"/>
          </w:tcPr>
          <w:p w14:paraId="46E1C57B">
            <w:pPr>
              <w:jc w:val="center"/>
              <w:rPr>
                <w:rFonts w:hint="eastAsia"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备份一体机扩容</w:t>
            </w:r>
          </w:p>
        </w:tc>
        <w:tc>
          <w:tcPr>
            <w:tcW w:w="2217" w:type="dxa"/>
          </w:tcPr>
          <w:p w14:paraId="5E61EB34">
            <w:pPr>
              <w:jc w:val="center"/>
              <w:rPr>
                <w:rFonts w:hint="eastAsia"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查看现场</w:t>
            </w:r>
          </w:p>
        </w:tc>
        <w:tc>
          <w:tcPr>
            <w:tcW w:w="934" w:type="dxa"/>
            <w:vAlign w:val="center"/>
          </w:tcPr>
          <w:p w14:paraId="6D891CD4">
            <w:pPr>
              <w:jc w:val="center"/>
              <w:rPr>
                <w:rFonts w:hint="eastAsia"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1</w:t>
            </w:r>
          </w:p>
        </w:tc>
        <w:tc>
          <w:tcPr>
            <w:tcW w:w="733" w:type="dxa"/>
          </w:tcPr>
          <w:p w14:paraId="4023E348">
            <w:pPr>
              <w:jc w:val="center"/>
              <w:rPr>
                <w:rFonts w:hint="eastAsia"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套</w:t>
            </w:r>
          </w:p>
        </w:tc>
      </w:tr>
      <w:tr w14:paraId="3DF8B1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46" w:type="dxa"/>
            <w:vAlign w:val="center"/>
          </w:tcPr>
          <w:p w14:paraId="3A045B75">
            <w:pPr>
              <w:jc w:val="center"/>
              <w:rPr>
                <w:rFonts w:hint="eastAsia"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3</w:t>
            </w:r>
          </w:p>
        </w:tc>
        <w:tc>
          <w:tcPr>
            <w:tcW w:w="3105" w:type="dxa"/>
            <w:vAlign w:val="center"/>
          </w:tcPr>
          <w:p w14:paraId="54356F3E">
            <w:pPr>
              <w:jc w:val="center"/>
              <w:rPr>
                <w:rFonts w:hint="eastAsia"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安全准入设备</w:t>
            </w:r>
          </w:p>
        </w:tc>
        <w:tc>
          <w:tcPr>
            <w:tcW w:w="2217" w:type="dxa"/>
          </w:tcPr>
          <w:p w14:paraId="20F99244">
            <w:pPr>
              <w:jc w:val="center"/>
              <w:rPr>
                <w:rFonts w:hint="eastAsia"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查看现场</w:t>
            </w:r>
          </w:p>
        </w:tc>
        <w:tc>
          <w:tcPr>
            <w:tcW w:w="934" w:type="dxa"/>
            <w:vAlign w:val="center"/>
          </w:tcPr>
          <w:p w14:paraId="216CEE08">
            <w:pPr>
              <w:jc w:val="center"/>
              <w:rPr>
                <w:rFonts w:hint="eastAsia"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2</w:t>
            </w:r>
          </w:p>
        </w:tc>
        <w:tc>
          <w:tcPr>
            <w:tcW w:w="733" w:type="dxa"/>
          </w:tcPr>
          <w:p w14:paraId="6AF46CA4">
            <w:pPr>
              <w:jc w:val="center"/>
              <w:rPr>
                <w:rFonts w:hint="eastAsia" w:ascii="宋体" w:hAnsi="宋体" w:cs="仿宋"/>
                <w:color w:val="000000" w:themeColor="text1"/>
                <w:sz w:val="24"/>
                <w14:textFill>
                  <w14:solidFill>
                    <w14:schemeClr w14:val="tx1"/>
                  </w14:solidFill>
                </w14:textFill>
              </w:rPr>
            </w:pPr>
            <w:r>
              <w:rPr>
                <w:rFonts w:hint="eastAsia" w:ascii="宋体" w:hAnsi="宋体" w:cs="仿宋"/>
                <w:color w:val="000000" w:themeColor="text1"/>
                <w:sz w:val="24"/>
                <w14:textFill>
                  <w14:solidFill>
                    <w14:schemeClr w14:val="tx1"/>
                  </w14:solidFill>
                </w14:textFill>
              </w:rPr>
              <w:t>套</w:t>
            </w:r>
          </w:p>
        </w:tc>
      </w:tr>
    </w:tbl>
    <w:p w14:paraId="4EA6D7D1">
      <w:pPr>
        <w:pStyle w:val="7"/>
        <w:tabs>
          <w:tab w:val="left" w:pos="692"/>
          <w:tab w:val="left" w:pos="872"/>
          <w:tab w:val="left" w:pos="1050"/>
        </w:tabs>
        <w:autoSpaceDE w:val="0"/>
        <w:autoSpaceDN w:val="0"/>
        <w:adjustRightInd w:val="0"/>
        <w:snapToGrid w:val="0"/>
        <w:spacing w:line="360" w:lineRule="auto"/>
        <w:rPr>
          <w:rFonts w:ascii="宋体" w:hAnsi="宋体"/>
          <w:sz w:val="24"/>
        </w:rPr>
      </w:pPr>
    </w:p>
    <w:p w14:paraId="61650218">
      <w:pPr>
        <w:spacing w:line="360" w:lineRule="auto"/>
        <w:rPr>
          <w:rFonts w:ascii="宋体" w:hAnsi="宋体"/>
          <w:b/>
          <w:bCs/>
          <w:color w:val="000000"/>
          <w:sz w:val="28"/>
          <w:szCs w:val="28"/>
        </w:rPr>
      </w:pPr>
      <w:r>
        <w:rPr>
          <w:rFonts w:hint="eastAsia" w:ascii="宋体" w:hAnsi="宋体"/>
          <w:b/>
          <w:bCs/>
          <w:color w:val="000000"/>
          <w:sz w:val="28"/>
          <w:szCs w:val="28"/>
        </w:rPr>
        <w:t>二、商务要求：</w:t>
      </w:r>
    </w:p>
    <w:p w14:paraId="079DA1ED">
      <w:pPr>
        <w:spacing w:line="360" w:lineRule="auto"/>
        <w:ind w:firstLine="480"/>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1、本系统中软硬件技术支持需要投标人在项目验收合格后免费技术支持3年，调研方应在供应实施当地（市级）设立技术支持和售后服务机构，并有足够的人员来保证技术支持和售后服务。调研方须提供7*24小时的技术支持和免费的上门维护升级服务。</w:t>
      </w:r>
    </w:p>
    <w:p w14:paraId="54D8C8CB">
      <w:pPr>
        <w:spacing w:line="360" w:lineRule="auto"/>
        <w:ind w:firstLine="480"/>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故障级别定义及解决时间要求如下：</w:t>
      </w:r>
    </w:p>
    <w:tbl>
      <w:tblPr>
        <w:tblStyle w:val="4"/>
        <w:tblW w:w="862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99"/>
        <w:gridCol w:w="1396"/>
        <w:gridCol w:w="1559"/>
        <w:gridCol w:w="1418"/>
        <w:gridCol w:w="1294"/>
        <w:gridCol w:w="1257"/>
      </w:tblGrid>
      <w:tr w14:paraId="03B12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9" w:type="dxa"/>
          </w:tcPr>
          <w:p w14:paraId="770D744F">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故障级别</w:t>
            </w:r>
          </w:p>
        </w:tc>
        <w:tc>
          <w:tcPr>
            <w:tcW w:w="1396" w:type="dxa"/>
          </w:tcPr>
          <w:p w14:paraId="1565E455">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技术人员到场时间</w:t>
            </w:r>
          </w:p>
        </w:tc>
        <w:tc>
          <w:tcPr>
            <w:tcW w:w="1559" w:type="dxa"/>
          </w:tcPr>
          <w:p w14:paraId="0DB4663E">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提出解决方案</w:t>
            </w:r>
          </w:p>
        </w:tc>
        <w:tc>
          <w:tcPr>
            <w:tcW w:w="1418" w:type="dxa"/>
          </w:tcPr>
          <w:p w14:paraId="52721A89">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备件到场时间</w:t>
            </w:r>
          </w:p>
        </w:tc>
        <w:tc>
          <w:tcPr>
            <w:tcW w:w="1294" w:type="dxa"/>
          </w:tcPr>
          <w:p w14:paraId="3F51D557">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解决时间</w:t>
            </w:r>
          </w:p>
        </w:tc>
        <w:tc>
          <w:tcPr>
            <w:tcW w:w="1257" w:type="dxa"/>
          </w:tcPr>
          <w:p w14:paraId="072A4676">
            <w:pPr>
              <w:jc w:val="cente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其他</w:t>
            </w:r>
          </w:p>
        </w:tc>
      </w:tr>
      <w:tr w14:paraId="46DD46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0" w:hRule="atLeast"/>
          <w:jc w:val="center"/>
        </w:trPr>
        <w:tc>
          <w:tcPr>
            <w:tcW w:w="1699" w:type="dxa"/>
          </w:tcPr>
          <w:p w14:paraId="755B67F6">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Ⅰ级：属于重特大故障</w:t>
            </w:r>
            <w:r>
              <w:rPr>
                <w:rFonts w:hint="eastAsia" w:ascii="宋体" w:hAnsi="宋体" w:cs="宋体"/>
                <w:bCs/>
                <w:color w:val="000000" w:themeColor="text1"/>
                <w:sz w:val="28"/>
                <w:szCs w:val="28"/>
                <w14:textFill>
                  <w14:solidFill>
                    <w14:schemeClr w14:val="tx1"/>
                  </w14:solidFill>
                </w14:textFill>
              </w:rPr>
              <w:t>或系统存在重大安全隐患的情况下</w:t>
            </w:r>
            <w:r>
              <w:rPr>
                <w:rFonts w:hint="eastAsia" w:ascii="宋体" w:hAnsi="宋体" w:cs="宋体"/>
                <w:color w:val="000000" w:themeColor="text1"/>
                <w:sz w:val="28"/>
                <w:szCs w:val="28"/>
                <w14:textFill>
                  <w14:solidFill>
                    <w14:schemeClr w14:val="tx1"/>
                  </w14:solidFill>
                </w14:textFill>
              </w:rPr>
              <w:t>。</w:t>
            </w:r>
          </w:p>
        </w:tc>
        <w:tc>
          <w:tcPr>
            <w:tcW w:w="1396" w:type="dxa"/>
          </w:tcPr>
          <w:p w14:paraId="6438B956">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接报30分钟以内到现场</w:t>
            </w:r>
          </w:p>
        </w:tc>
        <w:tc>
          <w:tcPr>
            <w:tcW w:w="1559" w:type="dxa"/>
          </w:tcPr>
          <w:p w14:paraId="75341DA1">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到现场后1小时内提交故障解决方案</w:t>
            </w:r>
          </w:p>
        </w:tc>
        <w:tc>
          <w:tcPr>
            <w:tcW w:w="1418" w:type="dxa"/>
          </w:tcPr>
          <w:p w14:paraId="42A9A763">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提出解决方案后1小时到现场</w:t>
            </w:r>
          </w:p>
        </w:tc>
        <w:tc>
          <w:tcPr>
            <w:tcW w:w="1294" w:type="dxa"/>
          </w:tcPr>
          <w:p w14:paraId="14D16E6E">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接报3小时以内</w:t>
            </w:r>
          </w:p>
        </w:tc>
        <w:tc>
          <w:tcPr>
            <w:tcW w:w="1257" w:type="dxa"/>
            <w:vMerge w:val="restart"/>
          </w:tcPr>
          <w:p w14:paraId="3222AF88">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特殊情况，电话通知或下发《紧急维修通知单》，3小时内必须修复。</w:t>
            </w:r>
          </w:p>
        </w:tc>
      </w:tr>
      <w:tr w14:paraId="223634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9" w:type="dxa"/>
          </w:tcPr>
          <w:p w14:paraId="7D48BEDA">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Ⅱ级：属于严重问题：其具体现象为：部分服务器系统发生故障、或小面积瘫痪但不影响系统整体运行。</w:t>
            </w:r>
          </w:p>
        </w:tc>
        <w:tc>
          <w:tcPr>
            <w:tcW w:w="1396" w:type="dxa"/>
          </w:tcPr>
          <w:p w14:paraId="65E30A08">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接报30分钟以内到现场</w:t>
            </w:r>
          </w:p>
        </w:tc>
        <w:tc>
          <w:tcPr>
            <w:tcW w:w="1559" w:type="dxa"/>
          </w:tcPr>
          <w:p w14:paraId="55F24951">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到现场后1小时内提交故障解决方案</w:t>
            </w:r>
          </w:p>
        </w:tc>
        <w:tc>
          <w:tcPr>
            <w:tcW w:w="1418" w:type="dxa"/>
          </w:tcPr>
          <w:p w14:paraId="42BF1131">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提出解决方案后1小时到现场</w:t>
            </w:r>
          </w:p>
        </w:tc>
        <w:tc>
          <w:tcPr>
            <w:tcW w:w="1294" w:type="dxa"/>
          </w:tcPr>
          <w:p w14:paraId="4E2D8E8A">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接报6小时以内</w:t>
            </w:r>
          </w:p>
        </w:tc>
        <w:tc>
          <w:tcPr>
            <w:tcW w:w="1257" w:type="dxa"/>
            <w:vMerge w:val="continue"/>
          </w:tcPr>
          <w:p w14:paraId="1757795B">
            <w:pPr>
              <w:rPr>
                <w:rFonts w:ascii="宋体" w:hAnsi="宋体" w:cs="宋体"/>
                <w:color w:val="000000"/>
                <w:sz w:val="28"/>
                <w:szCs w:val="28"/>
              </w:rPr>
            </w:pPr>
          </w:p>
        </w:tc>
      </w:tr>
      <w:tr w14:paraId="3F1ECB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9" w:type="dxa"/>
          </w:tcPr>
          <w:p w14:paraId="6E2D79A9">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Ⅲ级：属于普通问题：其具体现象为：服务器、存储硬盘故障，交换机单点故障，服务故障。</w:t>
            </w:r>
          </w:p>
        </w:tc>
        <w:tc>
          <w:tcPr>
            <w:tcW w:w="1396" w:type="dxa"/>
          </w:tcPr>
          <w:p w14:paraId="7EA4F13A">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接报2小时内到现场</w:t>
            </w:r>
          </w:p>
        </w:tc>
        <w:tc>
          <w:tcPr>
            <w:tcW w:w="1559" w:type="dxa"/>
          </w:tcPr>
          <w:p w14:paraId="667C5455">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即时提交或到现场后1小时内提交解决方案</w:t>
            </w:r>
          </w:p>
        </w:tc>
        <w:tc>
          <w:tcPr>
            <w:tcW w:w="1418" w:type="dxa"/>
          </w:tcPr>
          <w:p w14:paraId="2B5D81B7">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视情况而定</w:t>
            </w:r>
          </w:p>
        </w:tc>
        <w:tc>
          <w:tcPr>
            <w:tcW w:w="1294" w:type="dxa"/>
          </w:tcPr>
          <w:p w14:paraId="45854886">
            <w:pPr>
              <w:rPr>
                <w:rFonts w:ascii="宋体" w:hAnsi="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接报12小时以内</w:t>
            </w:r>
          </w:p>
        </w:tc>
        <w:tc>
          <w:tcPr>
            <w:tcW w:w="1257" w:type="dxa"/>
            <w:vMerge w:val="continue"/>
          </w:tcPr>
          <w:p w14:paraId="2746629A">
            <w:pPr>
              <w:rPr>
                <w:rFonts w:ascii="宋体" w:hAnsi="宋体" w:cs="宋体"/>
                <w:color w:val="000000"/>
                <w:sz w:val="28"/>
                <w:szCs w:val="28"/>
              </w:rPr>
            </w:pPr>
          </w:p>
        </w:tc>
      </w:tr>
    </w:tbl>
    <w:p w14:paraId="2DC4DF13">
      <w:pPr>
        <w:spacing w:line="560" w:lineRule="exact"/>
        <w:ind w:firstLine="560" w:firstLineChars="200"/>
        <w:rPr>
          <w:rFonts w:ascii="宋体" w:hAnsi="宋体"/>
          <w:color w:val="000000"/>
          <w:sz w:val="28"/>
          <w:szCs w:val="28"/>
        </w:rPr>
      </w:pPr>
      <w:r>
        <w:rPr>
          <w:rFonts w:hint="eastAsia" w:ascii="宋体" w:hAnsi="宋体" w:cs="宋体"/>
          <w:color w:val="000000" w:themeColor="text1"/>
          <w:sz w:val="28"/>
          <w:szCs w:val="28"/>
          <w14:textFill>
            <w14:solidFill>
              <w14:schemeClr w14:val="tx1"/>
            </w14:solidFill>
          </w14:textFill>
        </w:rPr>
        <w:t>2、培训要求：项目实施结束后，在接到采购人培训指令时，应在采购人规定的时间到达培训地点，对采购人相关管理人员进行免费现场培训</w:t>
      </w:r>
      <w:r>
        <w:rPr>
          <w:rFonts w:ascii="宋体" w:hAnsi="宋体" w:cs="宋体"/>
          <w:color w:val="000000" w:themeColor="text1"/>
          <w:sz w:val="28"/>
          <w:szCs w:val="28"/>
          <w14:textFill>
            <w14:solidFill>
              <w14:schemeClr w14:val="tx1"/>
            </w14:solidFill>
          </w14:textFill>
        </w:rPr>
        <w:t>,</w:t>
      </w:r>
      <w:r>
        <w:rPr>
          <w:rFonts w:hint="eastAsia" w:ascii="宋体" w:hAnsi="宋体" w:cs="宋体"/>
          <w:color w:val="000000" w:themeColor="text1"/>
          <w:sz w:val="28"/>
          <w:szCs w:val="28"/>
          <w14:textFill>
            <w14:solidFill>
              <w14:schemeClr w14:val="tx1"/>
            </w14:solidFill>
          </w14:textFill>
        </w:rPr>
        <w:t>提供不少于 3人/天的培训，采购人经过培训后，应能熟练掌握使用方法，独立完成日常的维护工作，掌握日常运行情况并能及时了解并排除大部分的日常故障。</w:t>
      </w:r>
    </w:p>
    <w:p w14:paraId="681BCE79">
      <w:pPr>
        <w:spacing w:line="560" w:lineRule="exact"/>
        <w:ind w:firstLine="560" w:firstLineChars="200"/>
        <w:rPr>
          <w:rFonts w:ascii="宋体" w:hAnsi="宋体"/>
          <w:color w:val="000000"/>
          <w:sz w:val="28"/>
          <w:szCs w:val="28"/>
        </w:rPr>
      </w:pPr>
      <w:r>
        <w:rPr>
          <w:rFonts w:hint="eastAsia" w:ascii="宋体" w:hAnsi="宋体"/>
          <w:color w:val="000000"/>
          <w:sz w:val="28"/>
          <w:szCs w:val="28"/>
        </w:rPr>
        <w:t>3、</w:t>
      </w:r>
      <w:r>
        <w:rPr>
          <w:rFonts w:hint="eastAsia" w:ascii="宋体" w:hAnsi="宋体" w:cs="宋体"/>
          <w:color w:val="000000" w:themeColor="text1"/>
          <w:sz w:val="28"/>
          <w:szCs w:val="28"/>
          <w14:textFill>
            <w14:solidFill>
              <w14:schemeClr w14:val="tx1"/>
            </w14:solidFill>
          </w14:textFill>
        </w:rPr>
        <w:t>调研方</w:t>
      </w:r>
      <w:r>
        <w:rPr>
          <w:rFonts w:hint="eastAsia" w:ascii="宋体" w:hAnsi="宋体"/>
          <w:color w:val="000000"/>
          <w:sz w:val="28"/>
          <w:szCs w:val="28"/>
        </w:rPr>
        <w:t>必须是生产厂家或取得厂家授权的代理商，调研时代理商需提供原厂针对此项目的授权函；</w:t>
      </w:r>
    </w:p>
    <w:p w14:paraId="63216256">
      <w:pPr>
        <w:spacing w:line="560" w:lineRule="exact"/>
        <w:rPr>
          <w:rFonts w:ascii="宋体" w:hAnsi="宋体"/>
          <w:b/>
          <w:bCs/>
          <w:color w:val="000000"/>
          <w:sz w:val="28"/>
          <w:szCs w:val="28"/>
        </w:rPr>
      </w:pPr>
      <w:r>
        <w:rPr>
          <w:rFonts w:hint="eastAsia" w:ascii="宋体" w:hAnsi="宋体"/>
          <w:b/>
          <w:bCs/>
          <w:color w:val="000000"/>
          <w:sz w:val="28"/>
          <w:szCs w:val="28"/>
        </w:rPr>
        <w:t>三、服务要求</w:t>
      </w:r>
    </w:p>
    <w:p w14:paraId="3CCB50C8">
      <w:pPr>
        <w:spacing w:line="560" w:lineRule="exact"/>
        <w:ind w:firstLine="560" w:firstLineChars="200"/>
        <w:rPr>
          <w:rFonts w:ascii="宋体" w:hAnsi="宋体"/>
          <w:color w:val="000000"/>
          <w:sz w:val="28"/>
          <w:szCs w:val="28"/>
        </w:rPr>
      </w:pPr>
      <w:r>
        <w:rPr>
          <w:rFonts w:hint="eastAsia" w:ascii="宋体" w:hAnsi="宋体"/>
          <w:color w:val="000000"/>
          <w:sz w:val="28"/>
          <w:szCs w:val="28"/>
        </w:rPr>
        <w:t>1、质保期：供应商报价时须承诺所供货物的免费质保期为三年（自验收报告签字确认日起，开始进入质保期）。</w:t>
      </w:r>
    </w:p>
    <w:p w14:paraId="20B2FC0E">
      <w:pPr>
        <w:spacing w:line="560" w:lineRule="exact"/>
        <w:ind w:firstLine="560" w:firstLineChars="200"/>
        <w:rPr>
          <w:rFonts w:ascii="宋体" w:hAnsi="宋体"/>
          <w:color w:val="000000"/>
          <w:sz w:val="28"/>
          <w:szCs w:val="28"/>
        </w:rPr>
      </w:pPr>
      <w:r>
        <w:rPr>
          <w:rFonts w:hint="eastAsia" w:ascii="宋体" w:hAnsi="宋体"/>
          <w:color w:val="000000"/>
          <w:sz w:val="28"/>
          <w:szCs w:val="28"/>
        </w:rPr>
        <w:t>2、服务响应时间：在接到服务请求1个小时内到达现场进行服务及保障。</w:t>
      </w:r>
    </w:p>
    <w:p w14:paraId="3CB879B9">
      <w:pPr>
        <w:spacing w:line="560" w:lineRule="exact"/>
        <w:rPr>
          <w:rFonts w:ascii="宋体" w:hAnsi="宋体"/>
          <w:b/>
          <w:bCs/>
          <w:color w:val="000000"/>
          <w:sz w:val="28"/>
          <w:szCs w:val="28"/>
        </w:rPr>
      </w:pPr>
      <w:r>
        <w:rPr>
          <w:rFonts w:hint="eastAsia" w:ascii="宋体" w:hAnsi="宋体"/>
          <w:b/>
          <w:bCs/>
          <w:color w:val="000000"/>
          <w:sz w:val="28"/>
          <w:szCs w:val="28"/>
        </w:rPr>
        <w:t>四、项目实施要求</w:t>
      </w:r>
    </w:p>
    <w:p w14:paraId="7DD42675">
      <w:pPr>
        <w:spacing w:line="560" w:lineRule="exact"/>
        <w:ind w:firstLine="560" w:firstLineChars="200"/>
        <w:rPr>
          <w:rFonts w:ascii="宋体" w:hAnsi="宋体" w:cs="仿宋_GB2312"/>
          <w:color w:val="000000"/>
          <w:sz w:val="28"/>
          <w:szCs w:val="28"/>
        </w:rPr>
      </w:pPr>
      <w:r>
        <w:rPr>
          <w:rFonts w:hint="eastAsia" w:ascii="宋体" w:hAnsi="宋体" w:cs="仿宋_GB2312"/>
          <w:color w:val="000000"/>
          <w:sz w:val="28"/>
          <w:szCs w:val="28"/>
        </w:rPr>
        <w:t>项目实施时间：签订合同之日起1个月内。</w:t>
      </w:r>
    </w:p>
    <w:p w14:paraId="2FDA4A62">
      <w:pPr>
        <w:spacing w:line="560" w:lineRule="exact"/>
        <w:rPr>
          <w:rFonts w:ascii="宋体" w:hAnsi="宋体" w:cs="仿宋_GB2312"/>
          <w:b/>
          <w:bCs/>
          <w:color w:val="000000"/>
          <w:sz w:val="28"/>
          <w:szCs w:val="28"/>
        </w:rPr>
      </w:pPr>
      <w:r>
        <w:rPr>
          <w:rFonts w:hint="eastAsia" w:ascii="宋体" w:hAnsi="宋体" w:cs="仿宋_GB2312"/>
          <w:b/>
          <w:bCs/>
          <w:color w:val="000000"/>
          <w:sz w:val="28"/>
          <w:szCs w:val="28"/>
        </w:rPr>
        <w:t>五、付款条件</w:t>
      </w:r>
    </w:p>
    <w:bookmarkEnd w:id="1"/>
    <w:p w14:paraId="36555780">
      <w:pPr>
        <w:spacing w:line="560" w:lineRule="exact"/>
        <w:ind w:firstLine="560" w:firstLineChars="200"/>
        <w:rPr>
          <w:rFonts w:ascii="宋体" w:hAnsi="宋体" w:cs="仿宋_GB2312"/>
          <w:color w:val="000000"/>
          <w:sz w:val="28"/>
          <w:szCs w:val="28"/>
        </w:rPr>
      </w:pPr>
      <w:r>
        <w:rPr>
          <w:rFonts w:hint="eastAsia" w:ascii="宋体" w:hAnsi="宋体" w:cs="仿宋_GB2312"/>
          <w:color w:val="000000"/>
          <w:sz w:val="28"/>
          <w:szCs w:val="28"/>
        </w:rPr>
        <w:t>验收并合格后，支付合同总额的90%，一年后支付合同总额10%。</w:t>
      </w:r>
    </w:p>
    <w:p w14:paraId="76ACA1DE">
      <w:pPr>
        <w:spacing w:line="560" w:lineRule="exact"/>
        <w:rPr>
          <w:rFonts w:ascii="宋体" w:hAnsi="宋体" w:cs="仿宋_GB2312"/>
          <w:b/>
          <w:bCs/>
          <w:color w:val="000000"/>
          <w:sz w:val="28"/>
          <w:szCs w:val="28"/>
        </w:rPr>
      </w:pPr>
      <w:r>
        <w:rPr>
          <w:rFonts w:hint="eastAsia" w:ascii="宋体" w:hAnsi="宋体" w:cs="仿宋_GB2312"/>
          <w:b/>
          <w:bCs/>
          <w:color w:val="000000"/>
          <w:sz w:val="28"/>
          <w:szCs w:val="28"/>
        </w:rPr>
        <w:t>六、现场调研</w:t>
      </w:r>
    </w:p>
    <w:p w14:paraId="460CF839"/>
    <w:p w14:paraId="7395FA85">
      <w:pPr>
        <w:spacing w:line="560" w:lineRule="exact"/>
        <w:ind w:firstLine="560" w:firstLineChars="200"/>
        <w:rPr>
          <w:rFonts w:ascii="宋体" w:hAnsi="宋体" w:cs="仿宋_GB2312"/>
          <w:color w:val="000000"/>
          <w:sz w:val="28"/>
          <w:szCs w:val="28"/>
        </w:rPr>
      </w:pPr>
      <w:r>
        <w:rPr>
          <w:rFonts w:hint="eastAsia" w:ascii="宋体" w:hAnsi="宋体" w:cs="仿宋_GB2312"/>
          <w:color w:val="000000"/>
          <w:sz w:val="28"/>
          <w:szCs w:val="28"/>
        </w:rPr>
        <w:t>项目具体情况请查看现场，联系电话：唐工 13222777718。</w:t>
      </w:r>
    </w:p>
    <w:p w14:paraId="4B43FF8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B0604020202020204"/>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M4NTY2ZTUwZDFiNGIwMTQyY2QwNjkxYTlmY2E0NzYifQ=="/>
  </w:docVars>
  <w:rsids>
    <w:rsidRoot w:val="61F8231B"/>
    <w:rsid w:val="00305651"/>
    <w:rsid w:val="00910BD6"/>
    <w:rsid w:val="00990779"/>
    <w:rsid w:val="00DE55CF"/>
    <w:rsid w:val="41B523F7"/>
    <w:rsid w:val="61F8231B"/>
    <w:rsid w:val="7AC406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6" w:lineRule="auto"/>
      <w:outlineLvl w:val="0"/>
    </w:pPr>
    <w:rPr>
      <w:b/>
      <w:bCs/>
      <w:kern w:val="44"/>
      <w:sz w:val="44"/>
      <w:szCs w:val="44"/>
    </w:rPr>
  </w:style>
  <w:style w:type="paragraph" w:styleId="2">
    <w:name w:val="heading 4"/>
    <w:basedOn w:val="1"/>
    <w:next w:val="1"/>
    <w:qFormat/>
    <w:uiPriority w:val="0"/>
    <w:pPr>
      <w:keepNext/>
      <w:keepLines/>
      <w:spacing w:before="120" w:after="120"/>
      <w:outlineLvl w:val="3"/>
    </w:pPr>
    <w:rPr>
      <w:rFonts w:ascii="Arial" w:hAnsi="Arial" w:eastAsia="黑体"/>
      <w:b/>
      <w:sz w:val="28"/>
      <w:szCs w:val="20"/>
    </w:rPr>
  </w:style>
  <w:style w:type="character" w:default="1" w:styleId="6">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table" w:styleId="5">
    <w:name w:val="Table Grid"/>
    <w:basedOn w:val="4"/>
    <w:qFormat/>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正文 New"/>
    <w:qFormat/>
    <w:uiPriority w:val="0"/>
    <w:pPr>
      <w:widowControl w:val="0"/>
      <w:jc w:val="both"/>
    </w:pPr>
    <w:rPr>
      <w:rFonts w:ascii="Times New Roman" w:hAnsi="Times New Roman" w:eastAsia="宋体" w:cs="Times New Roman"/>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871</Words>
  <Characters>891</Characters>
  <Lines>9</Lines>
  <Paragraphs>2</Paragraphs>
  <TotalTime>3</TotalTime>
  <ScaleCrop>false</ScaleCrop>
  <LinksUpToDate>false</LinksUpToDate>
  <CharactersWithSpaces>893</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2024-10-24T07:23:00Z</dcterms:created>
  <dc:creator>施吉利</dc:creator>
  <cp:lastModifiedBy>施吉利</cp:lastModifiedBy>
  <dcterms:modified xsi:type="dcterms:W3CDTF">2024-10-24T08:30:39Z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A52A0E0DBE7A4CD3A037F1E76E02817B_13</vt:lpwstr>
  </property>
</Properties>
</file>