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2A65ED">
      <w:pPr>
        <w:pStyle w:val="4"/>
        <w:numPr>
          <w:numId w:val="0"/>
        </w:numPr>
        <w:ind w:leftChars="0" w:firstLine="843" w:firstLineChars="300"/>
        <w:jc w:val="both"/>
        <w:rPr>
          <w:rFonts w:hint="eastAsia" w:ascii="宋体" w:hAnsi="宋体" w:eastAsia="宋体"/>
          <w:bCs w:val="0"/>
          <w:color w:val="000000"/>
          <w:sz w:val="28"/>
          <w:szCs w:val="28"/>
        </w:rPr>
      </w:pPr>
      <w:bookmarkStart w:id="1" w:name="_GoBack"/>
      <w:bookmarkEnd w:id="1"/>
      <w:r>
        <w:rPr>
          <w:rFonts w:hint="eastAsia" w:ascii="宋体" w:hAnsi="宋体" w:eastAsia="宋体"/>
          <w:bCs w:val="0"/>
          <w:color w:val="000000"/>
          <w:sz w:val="28"/>
          <w:szCs w:val="28"/>
        </w:rPr>
        <w:t>国家传染病智能监测预警前置软件服务器技术参数要求</w:t>
      </w:r>
    </w:p>
    <w:tbl>
      <w:tblPr>
        <w:tblStyle w:val="5"/>
        <w:tblW w:w="9214" w:type="dxa"/>
        <w:tblInd w:w="108" w:type="dxa"/>
        <w:tblLayout w:type="autofit"/>
        <w:tblCellMar>
          <w:top w:w="0" w:type="dxa"/>
          <w:left w:w="108" w:type="dxa"/>
          <w:bottom w:w="0" w:type="dxa"/>
          <w:right w:w="108" w:type="dxa"/>
        </w:tblCellMar>
      </w:tblPr>
      <w:tblGrid>
        <w:gridCol w:w="709"/>
        <w:gridCol w:w="1276"/>
        <w:gridCol w:w="7229"/>
      </w:tblGrid>
      <w:tr w14:paraId="6A76F6E5">
        <w:tblPrEx>
          <w:tblCellMar>
            <w:top w:w="0" w:type="dxa"/>
            <w:left w:w="108" w:type="dxa"/>
            <w:bottom w:w="0" w:type="dxa"/>
            <w:right w:w="108" w:type="dxa"/>
          </w:tblCellMar>
        </w:tblPrEx>
        <w:trPr>
          <w:trHeight w:val="630" w:hRule="atLeast"/>
        </w:trPr>
        <w:tc>
          <w:tcPr>
            <w:tcW w:w="709" w:type="dxa"/>
            <w:tcBorders>
              <w:top w:val="single" w:color="auto" w:sz="4" w:space="0"/>
              <w:left w:val="single" w:color="auto" w:sz="4" w:space="0"/>
              <w:bottom w:val="single" w:color="auto" w:sz="4" w:space="0"/>
              <w:right w:val="single" w:color="auto" w:sz="4" w:space="0"/>
            </w:tcBorders>
            <w:vAlign w:val="center"/>
          </w:tcPr>
          <w:p w14:paraId="34950F2A">
            <w:pPr>
              <w:widowControl/>
              <w:jc w:val="center"/>
              <w:rPr>
                <w:rFonts w:hint="eastAsia" w:ascii="宋体" w:hAnsi="宋体" w:cs="宋体"/>
                <w:kern w:val="0"/>
                <w:sz w:val="24"/>
                <w:szCs w:val="24"/>
              </w:rPr>
            </w:pPr>
            <w:r>
              <w:rPr>
                <w:rFonts w:hint="eastAsia" w:ascii="宋体" w:hAnsi="宋体" w:cs="宋体"/>
                <w:kern w:val="0"/>
                <w:sz w:val="24"/>
                <w:szCs w:val="24"/>
              </w:rPr>
              <w:t>序号</w:t>
            </w:r>
          </w:p>
        </w:tc>
        <w:tc>
          <w:tcPr>
            <w:tcW w:w="1276" w:type="dxa"/>
            <w:tcBorders>
              <w:top w:val="single" w:color="auto" w:sz="4" w:space="0"/>
              <w:left w:val="nil"/>
              <w:bottom w:val="single" w:color="auto" w:sz="4" w:space="0"/>
              <w:right w:val="single" w:color="auto" w:sz="4" w:space="0"/>
            </w:tcBorders>
            <w:vAlign w:val="center"/>
          </w:tcPr>
          <w:p w14:paraId="55737E78">
            <w:pPr>
              <w:widowControl/>
              <w:jc w:val="center"/>
              <w:rPr>
                <w:rFonts w:hint="eastAsia" w:ascii="宋体" w:hAnsi="宋体" w:cs="宋体"/>
                <w:kern w:val="0"/>
                <w:sz w:val="24"/>
                <w:szCs w:val="24"/>
              </w:rPr>
            </w:pPr>
            <w:r>
              <w:rPr>
                <w:rFonts w:hint="eastAsia" w:ascii="宋体" w:hAnsi="宋体" w:cs="宋体"/>
                <w:kern w:val="0"/>
                <w:sz w:val="24"/>
                <w:szCs w:val="24"/>
              </w:rPr>
              <w:t>指标项</w:t>
            </w:r>
          </w:p>
        </w:tc>
        <w:tc>
          <w:tcPr>
            <w:tcW w:w="7229" w:type="dxa"/>
            <w:tcBorders>
              <w:top w:val="single" w:color="auto" w:sz="4" w:space="0"/>
              <w:left w:val="nil"/>
              <w:bottom w:val="single" w:color="auto" w:sz="4" w:space="0"/>
              <w:right w:val="single" w:color="auto" w:sz="4" w:space="0"/>
            </w:tcBorders>
            <w:vAlign w:val="center"/>
          </w:tcPr>
          <w:p w14:paraId="4AC7B4FC">
            <w:pPr>
              <w:widowControl/>
              <w:jc w:val="center"/>
              <w:rPr>
                <w:rFonts w:hint="eastAsia" w:ascii="宋体" w:hAnsi="宋体" w:cs="宋体"/>
                <w:kern w:val="0"/>
                <w:sz w:val="24"/>
                <w:szCs w:val="24"/>
              </w:rPr>
            </w:pPr>
            <w:r>
              <w:rPr>
                <w:rFonts w:hint="eastAsia" w:ascii="宋体" w:hAnsi="宋体" w:cs="宋体"/>
                <w:kern w:val="0"/>
                <w:sz w:val="24"/>
                <w:szCs w:val="24"/>
              </w:rPr>
              <w:t>指标要求</w:t>
            </w:r>
          </w:p>
        </w:tc>
      </w:tr>
      <w:tr w14:paraId="72F85DCE">
        <w:tblPrEx>
          <w:tblCellMar>
            <w:top w:w="0" w:type="dxa"/>
            <w:left w:w="108" w:type="dxa"/>
            <w:bottom w:w="0" w:type="dxa"/>
            <w:right w:w="108" w:type="dxa"/>
          </w:tblCellMar>
        </w:tblPrEx>
        <w:trPr>
          <w:trHeight w:val="510" w:hRule="atLeast"/>
        </w:trPr>
        <w:tc>
          <w:tcPr>
            <w:tcW w:w="709" w:type="dxa"/>
            <w:tcBorders>
              <w:top w:val="nil"/>
              <w:left w:val="single" w:color="auto" w:sz="4" w:space="0"/>
              <w:bottom w:val="single" w:color="auto" w:sz="4" w:space="0"/>
              <w:right w:val="single" w:color="auto" w:sz="4" w:space="0"/>
            </w:tcBorders>
            <w:vAlign w:val="center"/>
          </w:tcPr>
          <w:p w14:paraId="70EA96BD">
            <w:pPr>
              <w:widowControl/>
              <w:jc w:val="center"/>
              <w:rPr>
                <w:rFonts w:hint="eastAsia" w:ascii="宋体" w:hAnsi="宋体" w:cs="宋体"/>
                <w:kern w:val="0"/>
                <w:sz w:val="24"/>
                <w:szCs w:val="24"/>
              </w:rPr>
            </w:pPr>
            <w:r>
              <w:rPr>
                <w:rFonts w:hint="eastAsia" w:ascii="宋体" w:hAnsi="宋体" w:cs="宋体"/>
                <w:kern w:val="0"/>
                <w:sz w:val="24"/>
                <w:szCs w:val="24"/>
              </w:rPr>
              <w:t>1</w:t>
            </w:r>
          </w:p>
        </w:tc>
        <w:tc>
          <w:tcPr>
            <w:tcW w:w="1276" w:type="dxa"/>
            <w:tcBorders>
              <w:top w:val="nil"/>
              <w:left w:val="nil"/>
              <w:bottom w:val="single" w:color="auto" w:sz="4" w:space="0"/>
              <w:right w:val="single" w:color="auto" w:sz="4" w:space="0"/>
            </w:tcBorders>
            <w:vAlign w:val="center"/>
          </w:tcPr>
          <w:p w14:paraId="72A5D1E9">
            <w:pPr>
              <w:widowControl/>
              <w:jc w:val="center"/>
              <w:rPr>
                <w:rFonts w:hint="eastAsia" w:ascii="宋体" w:hAnsi="宋体" w:cs="宋体"/>
                <w:kern w:val="0"/>
                <w:sz w:val="24"/>
                <w:szCs w:val="24"/>
              </w:rPr>
            </w:pPr>
            <w:r>
              <w:rPr>
                <w:rFonts w:hint="eastAsia" w:ascii="宋体" w:hAnsi="宋体" w:cs="宋体"/>
                <w:kern w:val="0"/>
                <w:sz w:val="24"/>
                <w:szCs w:val="24"/>
              </w:rPr>
              <w:t>★架构要求</w:t>
            </w:r>
          </w:p>
        </w:tc>
        <w:tc>
          <w:tcPr>
            <w:tcW w:w="7229" w:type="dxa"/>
            <w:tcBorders>
              <w:top w:val="nil"/>
              <w:left w:val="nil"/>
              <w:bottom w:val="single" w:color="auto" w:sz="4" w:space="0"/>
              <w:right w:val="single" w:color="auto" w:sz="4" w:space="0"/>
            </w:tcBorders>
            <w:vAlign w:val="center"/>
          </w:tcPr>
          <w:p w14:paraId="5E72BE38">
            <w:pPr>
              <w:widowControl/>
              <w:rPr>
                <w:rFonts w:hint="eastAsia" w:ascii="宋体" w:hAnsi="宋体" w:cs="宋体"/>
                <w:kern w:val="0"/>
                <w:sz w:val="24"/>
                <w:szCs w:val="24"/>
              </w:rPr>
            </w:pPr>
            <w:r>
              <w:rPr>
                <w:rFonts w:hint="eastAsia" w:ascii="宋体" w:hAnsi="宋体" w:cs="宋体"/>
                <w:kern w:val="0"/>
                <w:sz w:val="24"/>
                <w:szCs w:val="24"/>
              </w:rPr>
              <w:t>CPU满足中国信息安全测评中心发布的《安全可靠测评结果公告（2023年第1号）》或《安全可靠测评结果公告（2024年第1号）》要求，</w:t>
            </w:r>
          </w:p>
        </w:tc>
      </w:tr>
      <w:tr w14:paraId="40B29A44">
        <w:tblPrEx>
          <w:tblCellMar>
            <w:top w:w="0" w:type="dxa"/>
            <w:left w:w="108" w:type="dxa"/>
            <w:bottom w:w="0" w:type="dxa"/>
            <w:right w:w="108" w:type="dxa"/>
          </w:tblCellMar>
        </w:tblPrEx>
        <w:trPr>
          <w:trHeight w:val="510" w:hRule="atLeast"/>
        </w:trPr>
        <w:tc>
          <w:tcPr>
            <w:tcW w:w="709" w:type="dxa"/>
            <w:tcBorders>
              <w:top w:val="nil"/>
              <w:left w:val="single" w:color="auto" w:sz="4" w:space="0"/>
              <w:bottom w:val="single" w:color="auto" w:sz="4" w:space="0"/>
              <w:right w:val="single" w:color="auto" w:sz="4" w:space="0"/>
            </w:tcBorders>
            <w:vAlign w:val="center"/>
          </w:tcPr>
          <w:p w14:paraId="3D33A484">
            <w:pPr>
              <w:widowControl/>
              <w:jc w:val="center"/>
              <w:rPr>
                <w:rFonts w:hint="eastAsia" w:ascii="宋体" w:hAnsi="宋体" w:cs="宋体"/>
                <w:kern w:val="0"/>
                <w:sz w:val="24"/>
                <w:szCs w:val="24"/>
              </w:rPr>
            </w:pPr>
            <w:r>
              <w:rPr>
                <w:rFonts w:hint="eastAsia" w:ascii="宋体" w:hAnsi="宋体" w:cs="宋体"/>
                <w:kern w:val="0"/>
                <w:sz w:val="24"/>
                <w:szCs w:val="24"/>
              </w:rPr>
              <w:t>2</w:t>
            </w:r>
          </w:p>
        </w:tc>
        <w:tc>
          <w:tcPr>
            <w:tcW w:w="1276" w:type="dxa"/>
            <w:tcBorders>
              <w:top w:val="nil"/>
              <w:left w:val="nil"/>
              <w:bottom w:val="single" w:color="auto" w:sz="4" w:space="0"/>
              <w:right w:val="single" w:color="auto" w:sz="4" w:space="0"/>
            </w:tcBorders>
            <w:vAlign w:val="center"/>
          </w:tcPr>
          <w:p w14:paraId="013B3F63">
            <w:pPr>
              <w:widowControl/>
              <w:jc w:val="center"/>
              <w:rPr>
                <w:rFonts w:hint="eastAsia" w:ascii="宋体" w:hAnsi="宋体" w:cs="宋体"/>
                <w:kern w:val="0"/>
                <w:sz w:val="24"/>
                <w:szCs w:val="24"/>
              </w:rPr>
            </w:pPr>
            <w:r>
              <w:rPr>
                <w:rFonts w:hint="eastAsia" w:ascii="宋体" w:hAnsi="宋体" w:cs="宋体"/>
                <w:kern w:val="0"/>
                <w:sz w:val="24"/>
                <w:szCs w:val="24"/>
              </w:rPr>
              <w:t>产品形态</w:t>
            </w:r>
          </w:p>
        </w:tc>
        <w:tc>
          <w:tcPr>
            <w:tcW w:w="7229" w:type="dxa"/>
            <w:tcBorders>
              <w:top w:val="nil"/>
              <w:left w:val="nil"/>
              <w:bottom w:val="single" w:color="auto" w:sz="4" w:space="0"/>
              <w:right w:val="single" w:color="auto" w:sz="4" w:space="0"/>
            </w:tcBorders>
            <w:vAlign w:val="center"/>
          </w:tcPr>
          <w:p w14:paraId="58FB6DDD">
            <w:pPr>
              <w:widowControl/>
              <w:rPr>
                <w:rFonts w:hint="eastAsia" w:ascii="宋体" w:hAnsi="宋体" w:cs="宋体"/>
                <w:kern w:val="0"/>
                <w:sz w:val="24"/>
                <w:szCs w:val="24"/>
              </w:rPr>
            </w:pPr>
            <w:r>
              <w:rPr>
                <w:rFonts w:hint="eastAsia" w:ascii="宋体" w:hAnsi="宋体" w:cs="宋体"/>
                <w:kern w:val="0"/>
                <w:sz w:val="24"/>
                <w:szCs w:val="24"/>
              </w:rPr>
              <w:t>≤2U机架式服务器，配置静态滑轨套件</w:t>
            </w:r>
          </w:p>
        </w:tc>
      </w:tr>
      <w:tr w14:paraId="1FC33BF1">
        <w:tblPrEx>
          <w:tblCellMar>
            <w:top w:w="0" w:type="dxa"/>
            <w:left w:w="108" w:type="dxa"/>
            <w:bottom w:w="0" w:type="dxa"/>
            <w:right w:w="108" w:type="dxa"/>
          </w:tblCellMar>
        </w:tblPrEx>
        <w:trPr>
          <w:trHeight w:val="640" w:hRule="atLeast"/>
        </w:trPr>
        <w:tc>
          <w:tcPr>
            <w:tcW w:w="709" w:type="dxa"/>
            <w:tcBorders>
              <w:top w:val="nil"/>
              <w:left w:val="single" w:color="auto" w:sz="4" w:space="0"/>
              <w:bottom w:val="single" w:color="auto" w:sz="4" w:space="0"/>
              <w:right w:val="single" w:color="auto" w:sz="4" w:space="0"/>
            </w:tcBorders>
            <w:vAlign w:val="center"/>
          </w:tcPr>
          <w:p w14:paraId="1ED505FC">
            <w:pPr>
              <w:widowControl/>
              <w:jc w:val="center"/>
              <w:rPr>
                <w:rFonts w:hint="eastAsia" w:ascii="宋体" w:hAnsi="宋体" w:cs="宋体"/>
                <w:kern w:val="0"/>
                <w:sz w:val="24"/>
                <w:szCs w:val="24"/>
              </w:rPr>
            </w:pPr>
            <w:r>
              <w:rPr>
                <w:rFonts w:hint="eastAsia" w:ascii="宋体" w:hAnsi="宋体" w:cs="宋体"/>
                <w:kern w:val="0"/>
                <w:sz w:val="24"/>
                <w:szCs w:val="24"/>
              </w:rPr>
              <w:t>3</w:t>
            </w:r>
          </w:p>
        </w:tc>
        <w:tc>
          <w:tcPr>
            <w:tcW w:w="1276" w:type="dxa"/>
            <w:tcBorders>
              <w:top w:val="nil"/>
              <w:left w:val="nil"/>
              <w:bottom w:val="single" w:color="auto" w:sz="4" w:space="0"/>
              <w:right w:val="single" w:color="auto" w:sz="4" w:space="0"/>
            </w:tcBorders>
            <w:vAlign w:val="center"/>
          </w:tcPr>
          <w:p w14:paraId="6D5361DF">
            <w:pPr>
              <w:widowControl/>
              <w:jc w:val="center"/>
              <w:rPr>
                <w:rFonts w:hint="eastAsia" w:ascii="宋体" w:hAnsi="宋体" w:cs="宋体"/>
                <w:kern w:val="0"/>
                <w:sz w:val="24"/>
                <w:szCs w:val="24"/>
              </w:rPr>
            </w:pPr>
            <w:r>
              <w:rPr>
                <w:rFonts w:hint="eastAsia" w:ascii="宋体" w:hAnsi="宋体" w:cs="宋体"/>
                <w:kern w:val="0"/>
                <w:sz w:val="24"/>
                <w:szCs w:val="24"/>
              </w:rPr>
              <w:t>处理器</w:t>
            </w:r>
          </w:p>
        </w:tc>
        <w:tc>
          <w:tcPr>
            <w:tcW w:w="7229" w:type="dxa"/>
            <w:tcBorders>
              <w:top w:val="nil"/>
              <w:left w:val="nil"/>
              <w:bottom w:val="single" w:color="auto" w:sz="4" w:space="0"/>
              <w:right w:val="single" w:color="auto" w:sz="4" w:space="0"/>
            </w:tcBorders>
            <w:vAlign w:val="center"/>
          </w:tcPr>
          <w:p w14:paraId="32DE933C">
            <w:pPr>
              <w:widowControl/>
              <w:rPr>
                <w:rFonts w:hint="eastAsia" w:ascii="宋体" w:hAnsi="宋体" w:cs="宋体"/>
                <w:kern w:val="0"/>
                <w:sz w:val="24"/>
                <w:szCs w:val="24"/>
              </w:rPr>
            </w:pPr>
            <w:r>
              <w:rPr>
                <w:rFonts w:hint="eastAsia" w:ascii="宋体" w:hAnsi="宋体" w:cs="宋体"/>
                <w:kern w:val="0"/>
                <w:sz w:val="24"/>
                <w:szCs w:val="24"/>
              </w:rPr>
              <w:t>配置2颗ARM架构处理器，单颗要求：主频≥2.6GHz，核数≥32核</w:t>
            </w:r>
          </w:p>
        </w:tc>
      </w:tr>
      <w:tr w14:paraId="1C2FBD7E">
        <w:tblPrEx>
          <w:tblCellMar>
            <w:top w:w="0" w:type="dxa"/>
            <w:left w:w="108" w:type="dxa"/>
            <w:bottom w:w="0" w:type="dxa"/>
            <w:right w:w="108" w:type="dxa"/>
          </w:tblCellMar>
        </w:tblPrEx>
        <w:trPr>
          <w:trHeight w:val="488" w:hRule="atLeast"/>
        </w:trPr>
        <w:tc>
          <w:tcPr>
            <w:tcW w:w="709" w:type="dxa"/>
            <w:tcBorders>
              <w:top w:val="nil"/>
              <w:left w:val="single" w:color="auto" w:sz="4" w:space="0"/>
              <w:bottom w:val="single" w:color="auto" w:sz="4" w:space="0"/>
              <w:right w:val="single" w:color="auto" w:sz="4" w:space="0"/>
            </w:tcBorders>
            <w:vAlign w:val="center"/>
          </w:tcPr>
          <w:p w14:paraId="1FDF498B">
            <w:pPr>
              <w:widowControl/>
              <w:jc w:val="center"/>
              <w:rPr>
                <w:rFonts w:hint="eastAsia" w:ascii="宋体" w:hAnsi="宋体" w:cs="宋体"/>
                <w:kern w:val="0"/>
                <w:sz w:val="24"/>
                <w:szCs w:val="24"/>
              </w:rPr>
            </w:pPr>
            <w:r>
              <w:rPr>
                <w:rFonts w:hint="eastAsia" w:ascii="宋体" w:hAnsi="宋体" w:cs="宋体"/>
                <w:kern w:val="0"/>
                <w:sz w:val="24"/>
                <w:szCs w:val="24"/>
              </w:rPr>
              <w:t>4</w:t>
            </w:r>
          </w:p>
        </w:tc>
        <w:tc>
          <w:tcPr>
            <w:tcW w:w="1276" w:type="dxa"/>
            <w:tcBorders>
              <w:top w:val="nil"/>
              <w:left w:val="nil"/>
              <w:bottom w:val="single" w:color="auto" w:sz="4" w:space="0"/>
              <w:right w:val="single" w:color="auto" w:sz="4" w:space="0"/>
            </w:tcBorders>
            <w:vAlign w:val="center"/>
          </w:tcPr>
          <w:p w14:paraId="54152DCA">
            <w:pPr>
              <w:widowControl/>
              <w:jc w:val="center"/>
              <w:rPr>
                <w:rFonts w:hint="eastAsia" w:ascii="宋体" w:hAnsi="宋体" w:cs="宋体"/>
                <w:kern w:val="0"/>
                <w:sz w:val="24"/>
                <w:szCs w:val="24"/>
              </w:rPr>
            </w:pPr>
            <w:r>
              <w:rPr>
                <w:rFonts w:hint="eastAsia" w:ascii="宋体" w:hAnsi="宋体" w:cs="宋体"/>
                <w:kern w:val="0"/>
                <w:sz w:val="24"/>
                <w:szCs w:val="24"/>
              </w:rPr>
              <w:t>内存</w:t>
            </w:r>
          </w:p>
        </w:tc>
        <w:tc>
          <w:tcPr>
            <w:tcW w:w="7229" w:type="dxa"/>
            <w:tcBorders>
              <w:top w:val="nil"/>
              <w:left w:val="nil"/>
              <w:bottom w:val="single" w:color="auto" w:sz="4" w:space="0"/>
              <w:right w:val="single" w:color="auto" w:sz="4" w:space="0"/>
            </w:tcBorders>
            <w:vAlign w:val="center"/>
          </w:tcPr>
          <w:p w14:paraId="4B8A857C">
            <w:pPr>
              <w:widowControl/>
              <w:rPr>
                <w:rFonts w:hint="eastAsia" w:ascii="宋体" w:hAnsi="宋体" w:cs="宋体"/>
                <w:kern w:val="0"/>
                <w:sz w:val="24"/>
                <w:szCs w:val="24"/>
              </w:rPr>
            </w:pPr>
            <w:r>
              <w:rPr>
                <w:rFonts w:hint="eastAsia" w:ascii="宋体" w:hAnsi="宋体" w:cs="宋体"/>
                <w:kern w:val="0"/>
                <w:sz w:val="24"/>
                <w:szCs w:val="24"/>
              </w:rPr>
              <w:t>配置≥256GB ECC DDR4 3200 内存 ；内存槽位支持 ≥16根；</w:t>
            </w:r>
          </w:p>
        </w:tc>
      </w:tr>
      <w:tr w14:paraId="3B4C4016">
        <w:tblPrEx>
          <w:tblCellMar>
            <w:top w:w="0" w:type="dxa"/>
            <w:left w:w="108" w:type="dxa"/>
            <w:bottom w:w="0" w:type="dxa"/>
            <w:right w:w="108" w:type="dxa"/>
          </w:tblCellMar>
        </w:tblPrEx>
        <w:trPr>
          <w:trHeight w:val="496" w:hRule="atLeast"/>
        </w:trPr>
        <w:tc>
          <w:tcPr>
            <w:tcW w:w="709" w:type="dxa"/>
            <w:tcBorders>
              <w:top w:val="nil"/>
              <w:left w:val="single" w:color="auto" w:sz="4" w:space="0"/>
              <w:bottom w:val="single" w:color="auto" w:sz="4" w:space="0"/>
              <w:right w:val="single" w:color="auto" w:sz="4" w:space="0"/>
            </w:tcBorders>
            <w:vAlign w:val="center"/>
          </w:tcPr>
          <w:p w14:paraId="6E853D46">
            <w:pPr>
              <w:widowControl/>
              <w:jc w:val="center"/>
              <w:rPr>
                <w:rFonts w:hint="eastAsia" w:ascii="宋体" w:hAnsi="宋体" w:cs="宋体"/>
                <w:kern w:val="0"/>
                <w:sz w:val="24"/>
                <w:szCs w:val="24"/>
              </w:rPr>
            </w:pPr>
            <w:r>
              <w:rPr>
                <w:rFonts w:hint="eastAsia" w:ascii="宋体" w:hAnsi="宋体" w:cs="宋体"/>
                <w:kern w:val="0"/>
                <w:sz w:val="24"/>
                <w:szCs w:val="24"/>
              </w:rPr>
              <w:t>5</w:t>
            </w:r>
          </w:p>
        </w:tc>
        <w:tc>
          <w:tcPr>
            <w:tcW w:w="1276" w:type="dxa"/>
            <w:tcBorders>
              <w:top w:val="nil"/>
              <w:left w:val="nil"/>
              <w:bottom w:val="single" w:color="auto" w:sz="4" w:space="0"/>
              <w:right w:val="single" w:color="auto" w:sz="4" w:space="0"/>
            </w:tcBorders>
            <w:vAlign w:val="center"/>
          </w:tcPr>
          <w:p w14:paraId="088C909B">
            <w:pPr>
              <w:widowControl/>
              <w:jc w:val="center"/>
              <w:rPr>
                <w:rFonts w:hint="eastAsia" w:ascii="宋体" w:hAnsi="宋体" w:cs="宋体"/>
                <w:kern w:val="0"/>
                <w:sz w:val="24"/>
                <w:szCs w:val="24"/>
              </w:rPr>
            </w:pPr>
            <w:r>
              <w:rPr>
                <w:rFonts w:hint="eastAsia" w:ascii="宋体" w:hAnsi="宋体" w:cs="宋体"/>
                <w:kern w:val="0"/>
                <w:sz w:val="24"/>
                <w:szCs w:val="24"/>
              </w:rPr>
              <w:t>★硬盘</w:t>
            </w:r>
          </w:p>
        </w:tc>
        <w:tc>
          <w:tcPr>
            <w:tcW w:w="7229" w:type="dxa"/>
            <w:tcBorders>
              <w:top w:val="nil"/>
              <w:left w:val="nil"/>
              <w:bottom w:val="single" w:color="auto" w:sz="4" w:space="0"/>
              <w:right w:val="single" w:color="auto" w:sz="4" w:space="0"/>
            </w:tcBorders>
            <w:vAlign w:val="center"/>
          </w:tcPr>
          <w:p w14:paraId="13944CA0">
            <w:pPr>
              <w:widowControl/>
              <w:rPr>
                <w:rFonts w:hint="eastAsia" w:ascii="宋体" w:hAnsi="宋体" w:cs="宋体"/>
                <w:kern w:val="0"/>
                <w:sz w:val="24"/>
                <w:szCs w:val="24"/>
              </w:rPr>
            </w:pPr>
            <w:r>
              <w:rPr>
                <w:rFonts w:hint="eastAsia" w:ascii="宋体" w:hAnsi="宋体" w:cs="宋体"/>
                <w:kern w:val="0"/>
                <w:sz w:val="24"/>
                <w:szCs w:val="24"/>
              </w:rPr>
              <w:t>配置≥1块1.92TB SATA SSD硬盘，支持热插拔SAS/SATA/SSD硬盘，可扩展≥12个热插拔3.5寸硬盘SAS/SATA/SSD硬盘；可选后置扩展≥ 4 个3.5寸热插拔硬盘位SAS/SATA/SSD+4个2.5寸热插拔盘位SAS/SATA/SSD/NVME，配置12G RAID卡， 支持raid 0/1/10 ；</w:t>
            </w:r>
          </w:p>
        </w:tc>
      </w:tr>
      <w:tr w14:paraId="61B44360">
        <w:tblPrEx>
          <w:tblCellMar>
            <w:top w:w="0" w:type="dxa"/>
            <w:left w:w="108" w:type="dxa"/>
            <w:bottom w:w="0" w:type="dxa"/>
            <w:right w:w="108" w:type="dxa"/>
          </w:tblCellMar>
        </w:tblPrEx>
        <w:trPr>
          <w:trHeight w:val="555" w:hRule="atLeast"/>
        </w:trPr>
        <w:tc>
          <w:tcPr>
            <w:tcW w:w="709" w:type="dxa"/>
            <w:tcBorders>
              <w:top w:val="nil"/>
              <w:left w:val="single" w:color="auto" w:sz="4" w:space="0"/>
              <w:bottom w:val="single" w:color="auto" w:sz="4" w:space="0"/>
              <w:right w:val="single" w:color="auto" w:sz="4" w:space="0"/>
            </w:tcBorders>
            <w:vAlign w:val="center"/>
          </w:tcPr>
          <w:p w14:paraId="77435B0A">
            <w:pPr>
              <w:widowControl/>
              <w:jc w:val="center"/>
              <w:rPr>
                <w:rFonts w:hint="eastAsia" w:ascii="宋体" w:hAnsi="宋体" w:cs="宋体"/>
                <w:kern w:val="0"/>
                <w:sz w:val="24"/>
                <w:szCs w:val="24"/>
              </w:rPr>
            </w:pPr>
            <w:r>
              <w:rPr>
                <w:rFonts w:hint="eastAsia" w:ascii="宋体" w:hAnsi="宋体" w:cs="宋体"/>
                <w:kern w:val="0"/>
                <w:sz w:val="24"/>
                <w:szCs w:val="24"/>
              </w:rPr>
              <w:t>6</w:t>
            </w:r>
          </w:p>
        </w:tc>
        <w:tc>
          <w:tcPr>
            <w:tcW w:w="1276" w:type="dxa"/>
            <w:tcBorders>
              <w:top w:val="nil"/>
              <w:left w:val="nil"/>
              <w:bottom w:val="single" w:color="auto" w:sz="4" w:space="0"/>
              <w:right w:val="single" w:color="auto" w:sz="4" w:space="0"/>
            </w:tcBorders>
            <w:vAlign w:val="center"/>
          </w:tcPr>
          <w:p w14:paraId="6E0880AC">
            <w:pPr>
              <w:widowControl/>
              <w:jc w:val="center"/>
              <w:rPr>
                <w:rFonts w:hint="eastAsia" w:ascii="宋体" w:hAnsi="宋体" w:cs="宋体"/>
                <w:kern w:val="0"/>
                <w:sz w:val="24"/>
                <w:szCs w:val="24"/>
              </w:rPr>
            </w:pPr>
            <w:r>
              <w:rPr>
                <w:rFonts w:hint="eastAsia" w:ascii="宋体" w:hAnsi="宋体" w:cs="宋体"/>
                <w:kern w:val="0"/>
                <w:sz w:val="24"/>
                <w:szCs w:val="24"/>
              </w:rPr>
              <w:t>接口</w:t>
            </w:r>
          </w:p>
        </w:tc>
        <w:tc>
          <w:tcPr>
            <w:tcW w:w="7229" w:type="dxa"/>
            <w:tcBorders>
              <w:top w:val="nil"/>
              <w:left w:val="nil"/>
              <w:bottom w:val="single" w:color="auto" w:sz="4" w:space="0"/>
              <w:right w:val="single" w:color="auto" w:sz="4" w:space="0"/>
            </w:tcBorders>
            <w:vAlign w:val="center"/>
          </w:tcPr>
          <w:p w14:paraId="573D3201">
            <w:pPr>
              <w:widowControl/>
              <w:rPr>
                <w:rFonts w:hint="eastAsia" w:ascii="宋体" w:hAnsi="宋体" w:cs="宋体"/>
                <w:kern w:val="0"/>
                <w:sz w:val="24"/>
                <w:szCs w:val="24"/>
              </w:rPr>
            </w:pPr>
            <w:r>
              <w:rPr>
                <w:rFonts w:hint="eastAsia" w:ascii="宋体" w:hAnsi="宋体" w:cs="宋体"/>
                <w:kern w:val="0"/>
                <w:sz w:val="24"/>
                <w:szCs w:val="24"/>
              </w:rPr>
              <w:t>支持≥8张主流单宽加速卡包括不限于Atlas、NVIDIA系列</w:t>
            </w:r>
          </w:p>
        </w:tc>
      </w:tr>
      <w:tr w14:paraId="55005B22">
        <w:tblPrEx>
          <w:tblCellMar>
            <w:top w:w="0" w:type="dxa"/>
            <w:left w:w="108" w:type="dxa"/>
            <w:bottom w:w="0" w:type="dxa"/>
            <w:right w:w="108" w:type="dxa"/>
          </w:tblCellMar>
        </w:tblPrEx>
        <w:trPr>
          <w:trHeight w:val="484" w:hRule="atLeast"/>
        </w:trPr>
        <w:tc>
          <w:tcPr>
            <w:tcW w:w="709" w:type="dxa"/>
            <w:tcBorders>
              <w:top w:val="nil"/>
              <w:left w:val="single" w:color="auto" w:sz="4" w:space="0"/>
              <w:bottom w:val="single" w:color="auto" w:sz="4" w:space="0"/>
              <w:right w:val="single" w:color="auto" w:sz="4" w:space="0"/>
            </w:tcBorders>
            <w:vAlign w:val="center"/>
          </w:tcPr>
          <w:p w14:paraId="5B89B31C">
            <w:pPr>
              <w:widowControl/>
              <w:jc w:val="center"/>
              <w:rPr>
                <w:rFonts w:hint="eastAsia" w:ascii="宋体" w:hAnsi="宋体" w:cs="宋体"/>
                <w:kern w:val="0"/>
                <w:sz w:val="24"/>
                <w:szCs w:val="24"/>
              </w:rPr>
            </w:pPr>
            <w:r>
              <w:rPr>
                <w:rFonts w:hint="eastAsia" w:ascii="宋体" w:hAnsi="宋体" w:cs="宋体"/>
                <w:kern w:val="0"/>
                <w:sz w:val="24"/>
                <w:szCs w:val="24"/>
              </w:rPr>
              <w:t>7</w:t>
            </w:r>
          </w:p>
        </w:tc>
        <w:tc>
          <w:tcPr>
            <w:tcW w:w="1276" w:type="dxa"/>
            <w:tcBorders>
              <w:top w:val="nil"/>
              <w:left w:val="nil"/>
              <w:bottom w:val="single" w:color="auto" w:sz="4" w:space="0"/>
              <w:right w:val="single" w:color="auto" w:sz="4" w:space="0"/>
            </w:tcBorders>
            <w:vAlign w:val="center"/>
          </w:tcPr>
          <w:p w14:paraId="4CA90EF7">
            <w:pPr>
              <w:widowControl/>
              <w:jc w:val="center"/>
              <w:rPr>
                <w:rFonts w:hint="eastAsia" w:ascii="宋体" w:hAnsi="宋体" w:cs="宋体"/>
                <w:kern w:val="0"/>
                <w:sz w:val="24"/>
                <w:szCs w:val="24"/>
              </w:rPr>
            </w:pPr>
            <w:r>
              <w:rPr>
                <w:rFonts w:hint="eastAsia" w:ascii="宋体" w:hAnsi="宋体" w:cs="宋体"/>
                <w:kern w:val="0"/>
                <w:sz w:val="24"/>
                <w:szCs w:val="24"/>
              </w:rPr>
              <w:t>网络</w:t>
            </w:r>
          </w:p>
        </w:tc>
        <w:tc>
          <w:tcPr>
            <w:tcW w:w="7229" w:type="dxa"/>
            <w:tcBorders>
              <w:top w:val="nil"/>
              <w:left w:val="nil"/>
              <w:bottom w:val="single" w:color="auto" w:sz="4" w:space="0"/>
              <w:right w:val="single" w:color="auto" w:sz="4" w:space="0"/>
            </w:tcBorders>
            <w:vAlign w:val="center"/>
          </w:tcPr>
          <w:p w14:paraId="0CAFF2C0">
            <w:pPr>
              <w:widowControl/>
              <w:rPr>
                <w:rFonts w:hint="eastAsia" w:ascii="宋体" w:hAnsi="宋体" w:cs="宋体"/>
                <w:kern w:val="0"/>
                <w:sz w:val="24"/>
                <w:szCs w:val="24"/>
              </w:rPr>
            </w:pPr>
            <w:r>
              <w:rPr>
                <w:rFonts w:hint="eastAsia" w:ascii="宋体" w:hAnsi="宋体" w:cs="宋体"/>
                <w:kern w:val="0"/>
                <w:sz w:val="24"/>
                <w:szCs w:val="24"/>
              </w:rPr>
              <w:t>配置≥4个GE电口  可选4个万兆光口（含模块）</w:t>
            </w:r>
          </w:p>
        </w:tc>
      </w:tr>
      <w:tr w14:paraId="55F6CB33">
        <w:tblPrEx>
          <w:tblCellMar>
            <w:top w:w="0" w:type="dxa"/>
            <w:left w:w="108" w:type="dxa"/>
            <w:bottom w:w="0" w:type="dxa"/>
            <w:right w:w="108" w:type="dxa"/>
          </w:tblCellMar>
        </w:tblPrEx>
        <w:trPr>
          <w:trHeight w:val="555" w:hRule="atLeast"/>
        </w:trPr>
        <w:tc>
          <w:tcPr>
            <w:tcW w:w="709" w:type="dxa"/>
            <w:tcBorders>
              <w:top w:val="nil"/>
              <w:left w:val="single" w:color="auto" w:sz="4" w:space="0"/>
              <w:bottom w:val="single" w:color="auto" w:sz="4" w:space="0"/>
              <w:right w:val="single" w:color="auto" w:sz="4" w:space="0"/>
            </w:tcBorders>
            <w:vAlign w:val="center"/>
          </w:tcPr>
          <w:p w14:paraId="09B507B7">
            <w:pPr>
              <w:widowControl/>
              <w:jc w:val="center"/>
              <w:rPr>
                <w:rFonts w:hint="eastAsia" w:ascii="宋体" w:hAnsi="宋体" w:cs="宋体"/>
                <w:kern w:val="0"/>
                <w:sz w:val="24"/>
                <w:szCs w:val="24"/>
              </w:rPr>
            </w:pPr>
            <w:r>
              <w:rPr>
                <w:rFonts w:hint="eastAsia" w:ascii="宋体" w:hAnsi="宋体" w:cs="宋体"/>
                <w:kern w:val="0"/>
                <w:sz w:val="24"/>
                <w:szCs w:val="24"/>
              </w:rPr>
              <w:t>8</w:t>
            </w:r>
          </w:p>
        </w:tc>
        <w:tc>
          <w:tcPr>
            <w:tcW w:w="1276" w:type="dxa"/>
            <w:tcBorders>
              <w:top w:val="nil"/>
              <w:left w:val="nil"/>
              <w:bottom w:val="single" w:color="auto" w:sz="4" w:space="0"/>
              <w:right w:val="single" w:color="auto" w:sz="4" w:space="0"/>
            </w:tcBorders>
            <w:vAlign w:val="center"/>
          </w:tcPr>
          <w:p w14:paraId="00F59B3A">
            <w:pPr>
              <w:widowControl/>
              <w:jc w:val="center"/>
              <w:rPr>
                <w:rFonts w:hint="eastAsia" w:ascii="宋体" w:hAnsi="宋体" w:cs="宋体"/>
                <w:kern w:val="0"/>
                <w:sz w:val="24"/>
                <w:szCs w:val="24"/>
              </w:rPr>
            </w:pPr>
            <w:r>
              <w:rPr>
                <w:rFonts w:hint="eastAsia" w:ascii="宋体" w:hAnsi="宋体" w:cs="宋体"/>
                <w:kern w:val="0"/>
                <w:sz w:val="24"/>
                <w:szCs w:val="24"/>
              </w:rPr>
              <w:t>电源</w:t>
            </w:r>
          </w:p>
        </w:tc>
        <w:tc>
          <w:tcPr>
            <w:tcW w:w="7229" w:type="dxa"/>
            <w:tcBorders>
              <w:top w:val="nil"/>
              <w:left w:val="nil"/>
              <w:bottom w:val="single" w:color="auto" w:sz="4" w:space="0"/>
              <w:right w:val="single" w:color="auto" w:sz="4" w:space="0"/>
            </w:tcBorders>
            <w:vAlign w:val="center"/>
          </w:tcPr>
          <w:p w14:paraId="6950A5D5">
            <w:pPr>
              <w:widowControl/>
              <w:rPr>
                <w:rFonts w:hint="eastAsia" w:ascii="宋体" w:hAnsi="宋体" w:cs="宋体"/>
                <w:kern w:val="0"/>
                <w:sz w:val="24"/>
                <w:szCs w:val="24"/>
              </w:rPr>
            </w:pPr>
            <w:r>
              <w:rPr>
                <w:rFonts w:hint="eastAsia" w:ascii="宋体" w:hAnsi="宋体" w:cs="宋体"/>
                <w:kern w:val="0"/>
                <w:sz w:val="24"/>
                <w:szCs w:val="24"/>
              </w:rPr>
              <w:t>配置热插拔1+1 白金冗余电源，电源功耗≥900W，并提供配套的电源连接线；配置冗余风扇</w:t>
            </w:r>
          </w:p>
        </w:tc>
      </w:tr>
      <w:tr w14:paraId="6D9CD87F">
        <w:tblPrEx>
          <w:tblCellMar>
            <w:top w:w="0" w:type="dxa"/>
            <w:left w:w="108" w:type="dxa"/>
            <w:bottom w:w="0" w:type="dxa"/>
            <w:right w:w="108" w:type="dxa"/>
          </w:tblCellMar>
        </w:tblPrEx>
        <w:trPr>
          <w:trHeight w:val="555" w:hRule="atLeast"/>
        </w:trPr>
        <w:tc>
          <w:tcPr>
            <w:tcW w:w="709" w:type="dxa"/>
            <w:tcBorders>
              <w:top w:val="nil"/>
              <w:left w:val="single" w:color="auto" w:sz="4" w:space="0"/>
              <w:bottom w:val="single" w:color="auto" w:sz="4" w:space="0"/>
              <w:right w:val="single" w:color="auto" w:sz="4" w:space="0"/>
            </w:tcBorders>
            <w:vAlign w:val="center"/>
          </w:tcPr>
          <w:p w14:paraId="77DE3B44">
            <w:pPr>
              <w:widowControl/>
              <w:jc w:val="center"/>
              <w:rPr>
                <w:rFonts w:hint="eastAsia" w:ascii="宋体" w:hAnsi="宋体" w:cs="宋体"/>
                <w:kern w:val="0"/>
                <w:sz w:val="24"/>
                <w:szCs w:val="24"/>
              </w:rPr>
            </w:pPr>
            <w:r>
              <w:rPr>
                <w:rFonts w:hint="eastAsia" w:ascii="宋体" w:hAnsi="宋体" w:cs="宋体"/>
                <w:kern w:val="0"/>
                <w:sz w:val="24"/>
                <w:szCs w:val="24"/>
              </w:rPr>
              <w:t>9</w:t>
            </w:r>
          </w:p>
        </w:tc>
        <w:tc>
          <w:tcPr>
            <w:tcW w:w="1276" w:type="dxa"/>
            <w:tcBorders>
              <w:top w:val="nil"/>
              <w:left w:val="nil"/>
              <w:bottom w:val="single" w:color="auto" w:sz="4" w:space="0"/>
              <w:right w:val="single" w:color="auto" w:sz="4" w:space="0"/>
            </w:tcBorders>
            <w:vAlign w:val="center"/>
          </w:tcPr>
          <w:p w14:paraId="23949472">
            <w:pPr>
              <w:widowControl/>
              <w:jc w:val="center"/>
              <w:rPr>
                <w:rFonts w:hint="eastAsia" w:ascii="宋体" w:hAnsi="宋体" w:cs="宋体"/>
                <w:kern w:val="0"/>
                <w:sz w:val="24"/>
                <w:szCs w:val="24"/>
              </w:rPr>
            </w:pPr>
            <w:r>
              <w:rPr>
                <w:rFonts w:hint="eastAsia" w:ascii="宋体" w:hAnsi="宋体" w:cs="宋体"/>
                <w:kern w:val="0"/>
                <w:sz w:val="24"/>
                <w:szCs w:val="24"/>
              </w:rPr>
              <w:t>兼容性要求</w:t>
            </w:r>
          </w:p>
        </w:tc>
        <w:tc>
          <w:tcPr>
            <w:tcW w:w="7229" w:type="dxa"/>
            <w:tcBorders>
              <w:top w:val="nil"/>
              <w:left w:val="nil"/>
              <w:bottom w:val="single" w:color="auto" w:sz="4" w:space="0"/>
              <w:right w:val="single" w:color="auto" w:sz="4" w:space="0"/>
            </w:tcBorders>
            <w:vAlign w:val="center"/>
          </w:tcPr>
          <w:p w14:paraId="160F8CE5">
            <w:pPr>
              <w:widowControl/>
              <w:rPr>
                <w:rFonts w:hint="eastAsia" w:ascii="宋体" w:hAnsi="宋体" w:cs="宋体"/>
                <w:kern w:val="0"/>
                <w:sz w:val="24"/>
                <w:szCs w:val="24"/>
              </w:rPr>
            </w:pPr>
            <w:r>
              <w:rPr>
                <w:rFonts w:hint="eastAsia" w:ascii="宋体" w:hAnsi="宋体" w:cs="宋体"/>
                <w:kern w:val="0"/>
                <w:sz w:val="24"/>
                <w:szCs w:val="24"/>
              </w:rPr>
              <w:t>所投产品需要与国家传染病智能监测预警前置软件的兼容，应针对产品品牌、型号及运行国家前置软件的必要环境提供有效的适配证明加盖软件厂商公章。</w:t>
            </w:r>
          </w:p>
        </w:tc>
      </w:tr>
      <w:tr w14:paraId="4A773DF9">
        <w:tblPrEx>
          <w:tblCellMar>
            <w:top w:w="0" w:type="dxa"/>
            <w:left w:w="108" w:type="dxa"/>
            <w:bottom w:w="0" w:type="dxa"/>
            <w:right w:w="108" w:type="dxa"/>
          </w:tblCellMar>
        </w:tblPrEx>
        <w:trPr>
          <w:trHeight w:val="555" w:hRule="atLeast"/>
        </w:trPr>
        <w:tc>
          <w:tcPr>
            <w:tcW w:w="709" w:type="dxa"/>
            <w:tcBorders>
              <w:top w:val="nil"/>
              <w:left w:val="single" w:color="auto" w:sz="4" w:space="0"/>
              <w:bottom w:val="single" w:color="auto" w:sz="4" w:space="0"/>
              <w:right w:val="single" w:color="auto" w:sz="4" w:space="0"/>
            </w:tcBorders>
            <w:vAlign w:val="center"/>
          </w:tcPr>
          <w:p w14:paraId="352A7FE4">
            <w:pPr>
              <w:widowControl/>
              <w:jc w:val="center"/>
              <w:rPr>
                <w:rFonts w:hint="eastAsia" w:ascii="宋体" w:hAnsi="宋体" w:cs="宋体"/>
                <w:kern w:val="0"/>
                <w:sz w:val="24"/>
                <w:szCs w:val="24"/>
              </w:rPr>
            </w:pPr>
            <w:r>
              <w:rPr>
                <w:rFonts w:hint="eastAsia" w:ascii="宋体" w:hAnsi="宋体" w:cs="宋体"/>
                <w:kern w:val="0"/>
                <w:sz w:val="24"/>
                <w:szCs w:val="24"/>
              </w:rPr>
              <w:t>10</w:t>
            </w:r>
          </w:p>
        </w:tc>
        <w:tc>
          <w:tcPr>
            <w:tcW w:w="1276" w:type="dxa"/>
            <w:tcBorders>
              <w:top w:val="nil"/>
              <w:left w:val="nil"/>
              <w:bottom w:val="single" w:color="auto" w:sz="4" w:space="0"/>
              <w:right w:val="single" w:color="auto" w:sz="4" w:space="0"/>
            </w:tcBorders>
            <w:vAlign w:val="center"/>
          </w:tcPr>
          <w:p w14:paraId="3A791C21">
            <w:pPr>
              <w:widowControl/>
              <w:jc w:val="center"/>
              <w:rPr>
                <w:rFonts w:hint="eastAsia" w:ascii="宋体" w:hAnsi="宋体" w:cs="宋体"/>
                <w:kern w:val="0"/>
                <w:sz w:val="24"/>
                <w:szCs w:val="24"/>
              </w:rPr>
            </w:pPr>
            <w:r>
              <w:rPr>
                <w:rFonts w:hint="eastAsia" w:ascii="宋体" w:hAnsi="宋体" w:cs="宋体"/>
                <w:kern w:val="0"/>
                <w:sz w:val="24"/>
                <w:szCs w:val="24"/>
              </w:rPr>
              <w:t>★预配置要求</w:t>
            </w:r>
          </w:p>
        </w:tc>
        <w:tc>
          <w:tcPr>
            <w:tcW w:w="7229" w:type="dxa"/>
            <w:tcBorders>
              <w:top w:val="nil"/>
              <w:left w:val="nil"/>
              <w:bottom w:val="single" w:color="auto" w:sz="4" w:space="0"/>
              <w:right w:val="single" w:color="auto" w:sz="4" w:space="0"/>
            </w:tcBorders>
            <w:vAlign w:val="center"/>
          </w:tcPr>
          <w:p w14:paraId="5338F0B5">
            <w:pPr>
              <w:widowControl/>
              <w:rPr>
                <w:rFonts w:hint="eastAsia" w:ascii="宋体" w:hAnsi="宋体" w:cs="宋体"/>
                <w:kern w:val="0"/>
                <w:sz w:val="24"/>
                <w:szCs w:val="24"/>
              </w:rPr>
            </w:pPr>
            <w:r>
              <w:rPr>
                <w:rFonts w:hint="eastAsia" w:ascii="宋体" w:hAnsi="宋体" w:cs="宋体"/>
                <w:kern w:val="0"/>
                <w:sz w:val="24"/>
                <w:szCs w:val="24"/>
              </w:rPr>
              <w:t xml:space="preserve">1、承诺到货前安装好符合前置软件要求的操作系统；2、承诺到货前安装好符合前置软件要求的openGauss数据库；3、承诺按照要求完成前置软件运行所需软硬件环境初始化对应的OS、Database、App、Port等环境配置，4、承诺前置机产品上架即用并立即进入完整待调试环境界面；以上承诺均应加盖公章并提供对应的产品合规技术方案证明。 </w:t>
            </w:r>
          </w:p>
        </w:tc>
      </w:tr>
      <w:tr w14:paraId="273E4029">
        <w:tblPrEx>
          <w:tblCellMar>
            <w:top w:w="0" w:type="dxa"/>
            <w:left w:w="108" w:type="dxa"/>
            <w:bottom w:w="0" w:type="dxa"/>
            <w:right w:w="108" w:type="dxa"/>
          </w:tblCellMar>
        </w:tblPrEx>
        <w:trPr>
          <w:trHeight w:val="654" w:hRule="atLeast"/>
        </w:trPr>
        <w:tc>
          <w:tcPr>
            <w:tcW w:w="709" w:type="dxa"/>
            <w:tcBorders>
              <w:top w:val="single" w:color="auto" w:sz="4" w:space="0"/>
              <w:left w:val="single" w:color="auto" w:sz="4" w:space="0"/>
              <w:bottom w:val="single" w:color="auto" w:sz="4" w:space="0"/>
              <w:right w:val="single" w:color="auto" w:sz="4" w:space="0"/>
            </w:tcBorders>
            <w:vAlign w:val="center"/>
          </w:tcPr>
          <w:p w14:paraId="5B915AB6">
            <w:pPr>
              <w:widowControl/>
              <w:jc w:val="center"/>
              <w:rPr>
                <w:rFonts w:hint="eastAsia" w:ascii="宋体" w:hAnsi="宋体" w:cs="宋体"/>
                <w:kern w:val="0"/>
                <w:sz w:val="24"/>
                <w:szCs w:val="24"/>
              </w:rPr>
            </w:pPr>
            <w:r>
              <w:rPr>
                <w:rFonts w:hint="eastAsia" w:ascii="宋体" w:hAnsi="宋体" w:cs="宋体"/>
                <w:kern w:val="0"/>
                <w:sz w:val="24"/>
                <w:szCs w:val="24"/>
              </w:rPr>
              <w:t>11</w:t>
            </w:r>
          </w:p>
        </w:tc>
        <w:tc>
          <w:tcPr>
            <w:tcW w:w="1276" w:type="dxa"/>
            <w:tcBorders>
              <w:top w:val="single" w:color="auto" w:sz="4" w:space="0"/>
              <w:left w:val="nil"/>
              <w:bottom w:val="single" w:color="auto" w:sz="4" w:space="0"/>
              <w:right w:val="single" w:color="auto" w:sz="4" w:space="0"/>
            </w:tcBorders>
            <w:vAlign w:val="center"/>
          </w:tcPr>
          <w:p w14:paraId="7251EF7A">
            <w:pPr>
              <w:widowControl/>
              <w:jc w:val="center"/>
              <w:rPr>
                <w:rFonts w:hint="eastAsia" w:ascii="宋体" w:hAnsi="宋体" w:cs="宋体"/>
                <w:kern w:val="0"/>
                <w:sz w:val="24"/>
                <w:szCs w:val="24"/>
              </w:rPr>
            </w:pPr>
            <w:bookmarkStart w:id="0" w:name="_Hlk166249204"/>
            <w:bookmarkEnd w:id="0"/>
            <w:r>
              <w:rPr>
                <w:rFonts w:hint="eastAsia" w:ascii="宋体" w:hAnsi="宋体" w:cs="宋体"/>
                <w:kern w:val="0"/>
                <w:sz w:val="24"/>
                <w:szCs w:val="24"/>
              </w:rPr>
              <w:t>★上级联调要求</w:t>
            </w:r>
          </w:p>
        </w:tc>
        <w:tc>
          <w:tcPr>
            <w:tcW w:w="7229" w:type="dxa"/>
            <w:tcBorders>
              <w:top w:val="single" w:color="auto" w:sz="4" w:space="0"/>
              <w:left w:val="nil"/>
              <w:bottom w:val="single" w:color="auto" w:sz="4" w:space="0"/>
              <w:right w:val="single" w:color="auto" w:sz="4" w:space="0"/>
            </w:tcBorders>
            <w:vAlign w:val="center"/>
          </w:tcPr>
          <w:p w14:paraId="4C5D02B9">
            <w:pPr>
              <w:widowControl/>
              <w:rPr>
                <w:rFonts w:hint="eastAsia" w:ascii="宋体" w:hAnsi="宋体" w:cs="宋体"/>
                <w:kern w:val="0"/>
                <w:sz w:val="24"/>
                <w:szCs w:val="24"/>
              </w:rPr>
            </w:pPr>
            <w:r>
              <w:rPr>
                <w:rFonts w:hint="eastAsia" w:ascii="宋体" w:hAnsi="宋体" w:cs="宋体"/>
                <w:kern w:val="0"/>
                <w:sz w:val="24"/>
                <w:szCs w:val="24"/>
              </w:rPr>
              <w:t>1、承诺协助医院在1个月内完成国家疾控局前置软件医院侧远程联通调试工作；2、承诺协助医院完成前置软件考核任务项目进度管理、配合上级实施单位完成医院侧账号申请、测试、转正、培训等流程；以上承诺均应加盖公章并提供对应的合规实施方案证明</w:t>
            </w:r>
          </w:p>
        </w:tc>
      </w:tr>
      <w:tr w14:paraId="0EA05608">
        <w:tblPrEx>
          <w:tblCellMar>
            <w:top w:w="0" w:type="dxa"/>
            <w:left w:w="108" w:type="dxa"/>
            <w:bottom w:w="0" w:type="dxa"/>
            <w:right w:w="108" w:type="dxa"/>
          </w:tblCellMar>
        </w:tblPrEx>
        <w:trPr>
          <w:trHeight w:val="654" w:hRule="atLeast"/>
        </w:trPr>
        <w:tc>
          <w:tcPr>
            <w:tcW w:w="709" w:type="dxa"/>
            <w:tcBorders>
              <w:top w:val="single" w:color="auto" w:sz="4" w:space="0"/>
              <w:left w:val="single" w:color="auto" w:sz="4" w:space="0"/>
              <w:bottom w:val="single" w:color="auto" w:sz="4" w:space="0"/>
              <w:right w:val="single" w:color="auto" w:sz="4" w:space="0"/>
            </w:tcBorders>
            <w:vAlign w:val="center"/>
          </w:tcPr>
          <w:p w14:paraId="1A302D47">
            <w:pPr>
              <w:widowControl/>
              <w:jc w:val="center"/>
              <w:rPr>
                <w:rFonts w:hint="eastAsia" w:ascii="宋体" w:hAnsi="宋体" w:cs="宋体"/>
                <w:kern w:val="0"/>
                <w:sz w:val="24"/>
                <w:szCs w:val="24"/>
              </w:rPr>
            </w:pPr>
            <w:r>
              <w:rPr>
                <w:rFonts w:hint="eastAsia" w:ascii="宋体" w:hAnsi="宋体" w:cs="宋体"/>
                <w:kern w:val="0"/>
                <w:sz w:val="24"/>
                <w:szCs w:val="24"/>
              </w:rPr>
              <w:t>12</w:t>
            </w:r>
          </w:p>
        </w:tc>
        <w:tc>
          <w:tcPr>
            <w:tcW w:w="1276" w:type="dxa"/>
            <w:tcBorders>
              <w:top w:val="single" w:color="auto" w:sz="4" w:space="0"/>
              <w:left w:val="nil"/>
              <w:bottom w:val="single" w:color="auto" w:sz="4" w:space="0"/>
              <w:right w:val="single" w:color="auto" w:sz="4" w:space="0"/>
            </w:tcBorders>
            <w:vAlign w:val="center"/>
          </w:tcPr>
          <w:p w14:paraId="4545C21A">
            <w:pPr>
              <w:widowControl/>
              <w:jc w:val="center"/>
              <w:rPr>
                <w:rFonts w:hint="eastAsia" w:ascii="宋体" w:hAnsi="宋体" w:cs="宋体"/>
                <w:kern w:val="0"/>
                <w:sz w:val="24"/>
                <w:szCs w:val="24"/>
              </w:rPr>
            </w:pPr>
            <w:r>
              <w:rPr>
                <w:rFonts w:hint="eastAsia" w:ascii="宋体" w:hAnsi="宋体" w:cs="宋体"/>
                <w:kern w:val="0"/>
                <w:sz w:val="24"/>
                <w:szCs w:val="24"/>
              </w:rPr>
              <w:t>★软件服务</w:t>
            </w:r>
          </w:p>
        </w:tc>
        <w:tc>
          <w:tcPr>
            <w:tcW w:w="7229" w:type="dxa"/>
            <w:tcBorders>
              <w:top w:val="single" w:color="auto" w:sz="4" w:space="0"/>
              <w:left w:val="nil"/>
              <w:bottom w:val="single" w:color="auto" w:sz="4" w:space="0"/>
              <w:right w:val="single" w:color="auto" w:sz="4" w:space="0"/>
            </w:tcBorders>
            <w:vAlign w:val="center"/>
          </w:tcPr>
          <w:p w14:paraId="203439F6">
            <w:pPr>
              <w:widowControl/>
              <w:rPr>
                <w:rFonts w:hint="eastAsia" w:ascii="宋体" w:hAnsi="宋体" w:cs="宋体"/>
                <w:kern w:val="0"/>
                <w:sz w:val="24"/>
                <w:szCs w:val="24"/>
              </w:rPr>
            </w:pPr>
            <w:r>
              <w:rPr>
                <w:rFonts w:hint="eastAsia" w:ascii="宋体" w:hAnsi="宋体" w:cs="宋体"/>
                <w:kern w:val="0"/>
                <w:sz w:val="24"/>
                <w:szCs w:val="24"/>
              </w:rPr>
              <w:t>承诺协助医院对国家传染病监测预警前置软件运行状态持续监控、持续版本升级、持续备份管理、问题及时处理；针对2024－2025考核周期内前置软件运行环境初始化工作提供1次远程复核服务，前置机软件运行问题不限次数远程运维保障。</w:t>
            </w:r>
          </w:p>
        </w:tc>
      </w:tr>
      <w:tr w14:paraId="0BFCF3C0">
        <w:tblPrEx>
          <w:tblCellMar>
            <w:top w:w="0" w:type="dxa"/>
            <w:left w:w="108" w:type="dxa"/>
            <w:bottom w:w="0" w:type="dxa"/>
            <w:right w:w="108" w:type="dxa"/>
          </w:tblCellMar>
        </w:tblPrEx>
        <w:trPr>
          <w:trHeight w:val="654" w:hRule="atLeast"/>
        </w:trPr>
        <w:tc>
          <w:tcPr>
            <w:tcW w:w="709" w:type="dxa"/>
            <w:tcBorders>
              <w:top w:val="single" w:color="auto" w:sz="4" w:space="0"/>
              <w:left w:val="single" w:color="auto" w:sz="4" w:space="0"/>
              <w:bottom w:val="single" w:color="auto" w:sz="4" w:space="0"/>
              <w:right w:val="single" w:color="auto" w:sz="4" w:space="0"/>
            </w:tcBorders>
            <w:vAlign w:val="center"/>
          </w:tcPr>
          <w:p w14:paraId="38112535">
            <w:pPr>
              <w:widowControl/>
              <w:jc w:val="center"/>
              <w:rPr>
                <w:rFonts w:hint="eastAsia" w:ascii="宋体" w:hAnsi="宋体" w:cs="宋体"/>
                <w:kern w:val="0"/>
                <w:sz w:val="24"/>
                <w:szCs w:val="24"/>
              </w:rPr>
            </w:pPr>
            <w:r>
              <w:rPr>
                <w:rFonts w:hint="eastAsia" w:ascii="宋体" w:hAnsi="宋体" w:cs="宋体"/>
                <w:kern w:val="0"/>
                <w:sz w:val="24"/>
                <w:szCs w:val="24"/>
              </w:rPr>
              <w:t>13</w:t>
            </w:r>
          </w:p>
        </w:tc>
        <w:tc>
          <w:tcPr>
            <w:tcW w:w="1276" w:type="dxa"/>
            <w:tcBorders>
              <w:top w:val="single" w:color="auto" w:sz="4" w:space="0"/>
              <w:left w:val="nil"/>
              <w:bottom w:val="single" w:color="auto" w:sz="4" w:space="0"/>
              <w:right w:val="single" w:color="auto" w:sz="4" w:space="0"/>
            </w:tcBorders>
            <w:vAlign w:val="center"/>
          </w:tcPr>
          <w:p w14:paraId="04CD33DB">
            <w:pPr>
              <w:widowControl/>
              <w:jc w:val="center"/>
              <w:rPr>
                <w:rFonts w:hint="eastAsia" w:ascii="宋体" w:hAnsi="宋体" w:cs="宋体"/>
                <w:kern w:val="0"/>
                <w:sz w:val="24"/>
                <w:szCs w:val="24"/>
              </w:rPr>
            </w:pPr>
            <w:r>
              <w:rPr>
                <w:rFonts w:hint="eastAsia" w:ascii="宋体" w:hAnsi="宋体" w:cs="宋体"/>
                <w:kern w:val="0"/>
                <w:sz w:val="24"/>
                <w:szCs w:val="24"/>
              </w:rPr>
              <w:t>硬件维保要求</w:t>
            </w:r>
          </w:p>
        </w:tc>
        <w:tc>
          <w:tcPr>
            <w:tcW w:w="7229" w:type="dxa"/>
            <w:tcBorders>
              <w:top w:val="single" w:color="auto" w:sz="4" w:space="0"/>
              <w:left w:val="nil"/>
              <w:bottom w:val="single" w:color="auto" w:sz="4" w:space="0"/>
              <w:right w:val="single" w:color="auto" w:sz="4" w:space="0"/>
            </w:tcBorders>
            <w:vAlign w:val="center"/>
          </w:tcPr>
          <w:p w14:paraId="4F4B049E">
            <w:pPr>
              <w:widowControl/>
              <w:rPr>
                <w:rFonts w:hint="eastAsia" w:ascii="宋体" w:hAnsi="宋体" w:cs="宋体"/>
                <w:kern w:val="0"/>
                <w:sz w:val="24"/>
                <w:szCs w:val="24"/>
              </w:rPr>
            </w:pPr>
            <w:r>
              <w:rPr>
                <w:rFonts w:hint="eastAsia" w:ascii="宋体" w:hAnsi="宋体" w:cs="宋体"/>
                <w:kern w:val="0"/>
                <w:sz w:val="24"/>
                <w:szCs w:val="24"/>
              </w:rPr>
              <w:t>提供三年原厂服务，中标后3天内提供原厂售后服务承诺函盖章原件；包括但不限于电话支持、远程问题处理支持、备件支持、工程师上门技术支持服务。</w:t>
            </w:r>
          </w:p>
        </w:tc>
      </w:tr>
      <w:tr w14:paraId="5CF69658">
        <w:tblPrEx>
          <w:tblCellMar>
            <w:top w:w="0" w:type="dxa"/>
            <w:left w:w="108" w:type="dxa"/>
            <w:bottom w:w="0" w:type="dxa"/>
            <w:right w:w="108" w:type="dxa"/>
          </w:tblCellMar>
        </w:tblPrEx>
        <w:trPr>
          <w:trHeight w:val="654" w:hRule="atLeast"/>
        </w:trPr>
        <w:tc>
          <w:tcPr>
            <w:tcW w:w="709" w:type="dxa"/>
            <w:tcBorders>
              <w:top w:val="single" w:color="auto" w:sz="4" w:space="0"/>
              <w:left w:val="single" w:color="auto" w:sz="4" w:space="0"/>
              <w:bottom w:val="single" w:color="auto" w:sz="4" w:space="0"/>
              <w:right w:val="single" w:color="auto" w:sz="4" w:space="0"/>
            </w:tcBorders>
            <w:vAlign w:val="center"/>
          </w:tcPr>
          <w:p w14:paraId="021FB1C5">
            <w:pPr>
              <w:widowControl/>
              <w:jc w:val="center"/>
              <w:rPr>
                <w:rFonts w:hint="eastAsia" w:ascii="宋体" w:hAnsi="宋体" w:cs="宋体"/>
                <w:kern w:val="0"/>
                <w:sz w:val="24"/>
                <w:szCs w:val="24"/>
              </w:rPr>
            </w:pPr>
            <w:r>
              <w:rPr>
                <w:rFonts w:hint="eastAsia" w:ascii="宋体" w:hAnsi="宋体" w:cs="宋体"/>
                <w:kern w:val="0"/>
                <w:sz w:val="24"/>
                <w:szCs w:val="24"/>
              </w:rPr>
              <w:t>14</w:t>
            </w:r>
          </w:p>
        </w:tc>
        <w:tc>
          <w:tcPr>
            <w:tcW w:w="1276" w:type="dxa"/>
            <w:tcBorders>
              <w:top w:val="single" w:color="auto" w:sz="4" w:space="0"/>
              <w:left w:val="nil"/>
              <w:bottom w:val="single" w:color="auto" w:sz="4" w:space="0"/>
              <w:right w:val="single" w:color="auto" w:sz="4" w:space="0"/>
            </w:tcBorders>
            <w:vAlign w:val="center"/>
          </w:tcPr>
          <w:p w14:paraId="14F37BB4">
            <w:pPr>
              <w:widowControl/>
              <w:jc w:val="center"/>
              <w:rPr>
                <w:rFonts w:hint="eastAsia" w:ascii="宋体" w:hAnsi="宋体" w:cs="宋体"/>
                <w:kern w:val="0"/>
                <w:sz w:val="24"/>
                <w:szCs w:val="24"/>
              </w:rPr>
            </w:pPr>
            <w:r>
              <w:rPr>
                <w:rFonts w:hint="eastAsia" w:ascii="宋体" w:hAnsi="宋体" w:cs="宋体"/>
                <w:kern w:val="0"/>
                <w:sz w:val="24"/>
                <w:szCs w:val="24"/>
              </w:rPr>
              <w:t>★出具承诺函</w:t>
            </w:r>
          </w:p>
        </w:tc>
        <w:tc>
          <w:tcPr>
            <w:tcW w:w="7229" w:type="dxa"/>
            <w:tcBorders>
              <w:top w:val="single" w:color="auto" w:sz="4" w:space="0"/>
              <w:left w:val="nil"/>
              <w:bottom w:val="single" w:color="auto" w:sz="4" w:space="0"/>
              <w:right w:val="single" w:color="auto" w:sz="4" w:space="0"/>
            </w:tcBorders>
            <w:vAlign w:val="center"/>
          </w:tcPr>
          <w:p w14:paraId="5BDD7784">
            <w:pPr>
              <w:rPr>
                <w:rFonts w:hint="eastAsia" w:ascii="宋体" w:hAnsi="宋体" w:cs="宋体"/>
                <w:kern w:val="0"/>
                <w:sz w:val="24"/>
                <w:szCs w:val="24"/>
              </w:rPr>
            </w:pPr>
            <w:r>
              <w:rPr>
                <w:rFonts w:hint="eastAsia" w:ascii="宋体" w:hAnsi="宋体" w:cs="宋体"/>
                <w:kern w:val="0"/>
                <w:sz w:val="24"/>
                <w:szCs w:val="24"/>
              </w:rPr>
              <w:t>承诺内容：</w:t>
            </w:r>
          </w:p>
          <w:p w14:paraId="5A3EEC9A">
            <w:pPr>
              <w:rPr>
                <w:rFonts w:hint="eastAsia" w:ascii="宋体" w:hAnsi="宋体" w:cs="宋体"/>
                <w:kern w:val="0"/>
                <w:sz w:val="24"/>
                <w:szCs w:val="24"/>
              </w:rPr>
            </w:pPr>
            <w:r>
              <w:rPr>
                <w:rFonts w:hint="eastAsia" w:ascii="宋体" w:hAnsi="宋体" w:cs="宋体"/>
                <w:kern w:val="0"/>
                <w:sz w:val="24"/>
                <w:szCs w:val="24"/>
              </w:rPr>
              <w:t>依照《中华人民共和国传染病防治法》和《中华人民共和国传染病防治法实施办法》第三十五条规定：责任疫情报告人发现甲类传染病和乙类传染病中的艾滋病、肺炭疽的病人、病原携带者和疑似传染病病人时，城镇于六小时内，农村于十二小时内，以最快的通讯方式向发病地的卫生防疫机构报告，并同时报出传染病报告卡。</w:t>
            </w:r>
          </w:p>
          <w:p w14:paraId="3B07AE21">
            <w:pPr>
              <w:ind w:firstLine="480" w:firstLineChars="200"/>
              <w:rPr>
                <w:rFonts w:hint="eastAsia" w:ascii="宋体" w:hAnsi="宋体" w:cs="宋体"/>
                <w:kern w:val="0"/>
                <w:sz w:val="24"/>
                <w:szCs w:val="24"/>
              </w:rPr>
            </w:pPr>
            <w:r>
              <w:rPr>
                <w:rFonts w:hint="eastAsia" w:ascii="宋体" w:hAnsi="宋体" w:cs="宋体"/>
                <w:kern w:val="0"/>
                <w:sz w:val="24"/>
                <w:szCs w:val="24"/>
              </w:rPr>
              <w:t>责任疫情报告人发现乙类传染病病人、病原携带者和疑传染病病人时，城镇于十二小时内，农村于二十四小时内向发病地的卫生防疫机构报出传染病报告卡。</w:t>
            </w:r>
          </w:p>
          <w:p w14:paraId="30B00E31">
            <w:pPr>
              <w:ind w:firstLine="480" w:firstLineChars="200"/>
              <w:rPr>
                <w:rFonts w:hint="eastAsia" w:ascii="宋体" w:hAnsi="宋体" w:cs="宋体"/>
                <w:kern w:val="0"/>
                <w:sz w:val="24"/>
                <w:szCs w:val="24"/>
              </w:rPr>
            </w:pPr>
            <w:r>
              <w:rPr>
                <w:rFonts w:hint="eastAsia" w:ascii="宋体" w:hAnsi="宋体" w:cs="宋体"/>
                <w:kern w:val="0"/>
                <w:sz w:val="24"/>
                <w:szCs w:val="24"/>
              </w:rPr>
              <w:t>责任疫情报告人在丙类传染病监测区内发现丙类传染病病人时，应当在二十四小时内向发病地的卫生防疫机构报出传染病报告卡。</w:t>
            </w:r>
          </w:p>
          <w:p w14:paraId="6D1D3E59">
            <w:pPr>
              <w:ind w:firstLine="480" w:firstLineChars="200"/>
              <w:rPr>
                <w:rFonts w:hint="eastAsia" w:ascii="宋体" w:hAnsi="宋体" w:cs="宋体"/>
                <w:kern w:val="0"/>
                <w:sz w:val="24"/>
                <w:szCs w:val="24"/>
              </w:rPr>
            </w:pPr>
            <w:r>
              <w:rPr>
                <w:rFonts w:hint="eastAsia" w:ascii="宋体" w:hAnsi="宋体" w:cs="宋体"/>
                <w:kern w:val="0"/>
                <w:sz w:val="24"/>
                <w:szCs w:val="24"/>
              </w:rPr>
              <w:t>依照以上规定，投标人需承诺在江苏省第二中医院传染病智能预警实施方案中，如果投标人方案被选中，投标人按照法律规定，自愿承诺，如果医疗机构软件、硬件、网络等任何问题出现时，按照甲类传染病0.5个小时，乙类传染病1个小时内协调国家疾控中心、省市疾控中心、医疗机构、国家疾控中心智能软件开发公司和本项目中硬件公司，完成并解决问题，如超时造成的迟报问题，投标人自愿承担任何法律后果。</w:t>
            </w:r>
          </w:p>
          <w:p w14:paraId="15EDC04A">
            <w:pPr>
              <w:widowControl/>
              <w:rPr>
                <w:rFonts w:hint="eastAsia" w:ascii="宋体" w:hAnsi="宋体" w:cs="宋体"/>
                <w:kern w:val="0"/>
                <w:sz w:val="24"/>
                <w:szCs w:val="24"/>
              </w:rPr>
            </w:pPr>
          </w:p>
        </w:tc>
      </w:tr>
    </w:tbl>
    <w:p w14:paraId="7AF2A866">
      <w:r>
        <w:rPr>
          <w:rFonts w:hint="eastAsia" w:ascii="宋体" w:hAnsi="宋体" w:cs="宋体"/>
          <w:bCs/>
          <w:color w:val="000000"/>
          <w:kern w:val="0"/>
          <w:sz w:val="28"/>
          <w:szCs w:val="28"/>
        </w:rPr>
        <w:t>注：★项为核心指标，必须满足</w:t>
      </w:r>
      <w:r>
        <w:rPr>
          <w:rFonts w:hint="eastAsia" w:ascii="宋体" w:hAnsi="宋体" w:cs="宋体"/>
          <w:kern w:val="0"/>
          <w:sz w:val="24"/>
          <w:szCs w:val="24"/>
        </w:rPr>
        <w:t>。</w:t>
      </w:r>
    </w:p>
    <w:p w14:paraId="351CEB6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幼圆">
    <w:panose1 w:val="0201050906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4NTY2ZTUwZDFiNGIwMTQyY2QwNjkxYTlmY2E0NzYifQ=="/>
  </w:docVars>
  <w:rsids>
    <w:rsidRoot w:val="59715F75"/>
    <w:rsid w:val="59715F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2"/>
    <w:basedOn w:val="1"/>
    <w:next w:val="1"/>
    <w:qFormat/>
    <w:uiPriority w:val="0"/>
    <w:pPr>
      <w:keepNext/>
      <w:keepLines/>
      <w:spacing w:before="260" w:after="260" w:line="416" w:lineRule="auto"/>
      <w:jc w:val="center"/>
      <w:outlineLvl w:val="1"/>
    </w:pPr>
    <w:rPr>
      <w:rFonts w:ascii="Arial" w:hAnsi="Arial" w:eastAsia="幼圆" w:cs="Arial"/>
      <w:b/>
      <w:bCs/>
      <w:sz w:val="44"/>
      <w:szCs w:val="44"/>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semiHidden/>
    <w:unhideWhenUsed/>
    <w:qFormat/>
    <w:uiPriority w:val="99"/>
    <w:pPr>
      <w:ind w:firstLine="420" w:firstLineChars="200"/>
    </w:pPr>
  </w:style>
  <w:style w:type="paragraph" w:styleId="3">
    <w:name w:val="Body Text Indent"/>
    <w:basedOn w:val="1"/>
    <w:semiHidden/>
    <w:unhideWhenUsed/>
    <w:qFormat/>
    <w:uiPriority w:val="99"/>
    <w:pPr>
      <w:spacing w:after="120"/>
      <w:ind w:left="420" w:left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2024-10-29T03:21:00Z</dcterms:created>
  <dc:creator>施吉利</dc:creator>
  <cp:lastModifiedBy>施吉利</cp:lastModifiedBy>
  <dcterms:modified xsi:type="dcterms:W3CDTF">2024-10-29T03:22:00Z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FF6A9A971C7541F69FBB49787B4FB130_11</vt:lpwstr>
  </property>
</Properties>
</file>