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FBFCA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  <w:bookmarkStart w:id="0" w:name="_Toc465785686"/>
      <w:r>
        <w:rPr>
          <w:rFonts w:hint="eastAsia" w:ascii="宋体" w:hAnsi="宋体"/>
          <w:b/>
          <w:sz w:val="44"/>
          <w:szCs w:val="44"/>
          <w:lang w:val="zh-CN"/>
        </w:rPr>
        <w:t>江苏省第二中医院门诊楼弱电间UPS</w:t>
      </w:r>
    </w:p>
    <w:p w14:paraId="5CDE410E">
      <w:pPr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zh-CN"/>
        </w:rPr>
        <w:t>更新项目调研内容</w:t>
      </w:r>
      <w:bookmarkEnd w:id="0"/>
    </w:p>
    <w:p w14:paraId="01520CDF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bookmarkStart w:id="1" w:name="_Toc465785687"/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一、产品清单</w:t>
      </w:r>
    </w:p>
    <w:p w14:paraId="2AB447A3">
      <w:pPr>
        <w:pStyle w:val="6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tbl>
      <w:tblPr>
        <w:tblStyle w:val="4"/>
        <w:tblW w:w="78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739"/>
        <w:gridCol w:w="3583"/>
        <w:gridCol w:w="934"/>
        <w:gridCol w:w="733"/>
      </w:tblGrid>
      <w:tr w14:paraId="593E5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747F3062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39" w:type="dxa"/>
            <w:vAlign w:val="center"/>
          </w:tcPr>
          <w:p w14:paraId="4E701490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</w:t>
            </w:r>
          </w:p>
        </w:tc>
        <w:tc>
          <w:tcPr>
            <w:tcW w:w="3583" w:type="dxa"/>
            <w:vAlign w:val="center"/>
          </w:tcPr>
          <w:p w14:paraId="3CD1C6FB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采购要求</w:t>
            </w:r>
          </w:p>
        </w:tc>
        <w:tc>
          <w:tcPr>
            <w:tcW w:w="934" w:type="dxa"/>
            <w:vAlign w:val="center"/>
          </w:tcPr>
          <w:p w14:paraId="56CB6FE3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733" w:type="dxa"/>
            <w:vAlign w:val="center"/>
          </w:tcPr>
          <w:p w14:paraId="55903619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0099D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46E12F1A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39" w:type="dxa"/>
            <w:vAlign w:val="center"/>
          </w:tcPr>
          <w:p w14:paraId="47D8C8FE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不间断电源</w:t>
            </w:r>
          </w:p>
        </w:tc>
        <w:tc>
          <w:tcPr>
            <w:tcW w:w="3583" w:type="dxa"/>
            <w:vAlign w:val="center"/>
          </w:tcPr>
          <w:p w14:paraId="62A39C3A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参见功能、性能、配置要求</w:t>
            </w:r>
          </w:p>
        </w:tc>
        <w:tc>
          <w:tcPr>
            <w:tcW w:w="934" w:type="dxa"/>
            <w:vAlign w:val="center"/>
          </w:tcPr>
          <w:p w14:paraId="39AD42C0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33" w:type="dxa"/>
            <w:vAlign w:val="center"/>
          </w:tcPr>
          <w:p w14:paraId="46E685E2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</w:tbl>
    <w:p w14:paraId="15AADC56">
      <w:pPr>
        <w:pStyle w:val="6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p w14:paraId="07AB14E4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二、技术参数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701"/>
        <w:gridCol w:w="5607"/>
      </w:tblGrid>
      <w:tr w14:paraId="4CD84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</w:tcPr>
          <w:p w14:paraId="44523896">
            <w:pPr>
              <w:jc w:val="center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01" w:type="dxa"/>
          </w:tcPr>
          <w:p w14:paraId="21519F98">
            <w:pPr>
              <w:jc w:val="center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5607" w:type="dxa"/>
          </w:tcPr>
          <w:p w14:paraId="53646089">
            <w:pPr>
              <w:jc w:val="center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功能、性能、配置要求</w:t>
            </w:r>
          </w:p>
        </w:tc>
      </w:tr>
      <w:tr w14:paraId="59A81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988" w:type="dxa"/>
            <w:vAlign w:val="center"/>
          </w:tcPr>
          <w:p w14:paraId="20C9BECB">
            <w:pPr>
              <w:jc w:val="center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vAlign w:val="center"/>
          </w:tcPr>
          <w:p w14:paraId="76A92E5C">
            <w:pPr>
              <w:jc w:val="center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★实质性要求</w:t>
            </w:r>
          </w:p>
        </w:tc>
        <w:tc>
          <w:tcPr>
            <w:tcW w:w="5607" w:type="dxa"/>
          </w:tcPr>
          <w:p w14:paraId="651F84F4">
            <w:pPr>
              <w:jc w:val="left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不间断电源主机要求：</w:t>
            </w:r>
          </w:p>
          <w:p w14:paraId="004ED746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1、塔式机架式兼容安装的UPS设备；支持单进单出，输入电压范围：单相110V-300V，输入频率范围 40Hz~70Hz；UPS设备输入功率因数应大于等于0.99；UPS效率≥90%；并能提供设备彩页等证明材料。</w:t>
            </w:r>
          </w:p>
          <w:p w14:paraId="6BA53F04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2、工作温度范围：0℃～+40℃，能长期满载正常工作；</w:t>
            </w:r>
          </w:p>
          <w:p w14:paraId="3D6F6B33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3、UPS在单机模式下可以对负载进行分级下电保护，给客户重要负载提高更长时间和更可靠的保护。</w:t>
            </w:r>
          </w:p>
          <w:p w14:paraId="76705738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4、频率跟踪速率：输出为额定阻性负载，调节输入频率为上、下限值时，频率跟踪速率应在0.5~2Hz/s范围内。投标时需提供CMA、CNAS的检验报告复印件。</w:t>
            </w:r>
          </w:p>
          <w:p w14:paraId="4ECEFB6D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5、过载能力：UPS在正常工作方式情况下，过载125%的工作时间，应不少于1分钟；</w:t>
            </w:r>
          </w:p>
          <w:p w14:paraId="759056A4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6、市电电池转换时间：输入电压为额定值、输出为50%额定阻性负载，市电|与电池供电相互转换时间应为0ms。投标时需提供CMA、CNAS的检验报告复印件。</w:t>
            </w:r>
          </w:p>
          <w:p w14:paraId="2B15FEB4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7、为保证所投机型满足国家节能要求，提供CQC认证证书。</w:t>
            </w:r>
          </w:p>
          <w:p w14:paraId="44F197E9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8、整体包含三年原厂服务（包含设备硬件质保、软件升级、软件维护、应急保障服务，服务形式包括且不限于电话咨询、企业微信群支持、邮件互动、上门技术支持、远程支持等）</w:t>
            </w:r>
          </w:p>
          <w:p w14:paraId="785AF361">
            <w:pPr>
              <w:jc w:val="left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蓄电池要求：</w:t>
            </w:r>
          </w:p>
          <w:p w14:paraId="350BC930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1、铅酸蓄电池，容量：12V 65AH，不低于 8 节</w:t>
            </w:r>
          </w:p>
          <w:p w14:paraId="20320A22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2、外观：应无变形、漏液、裂纹及污迹;外观 标识应清晰。</w:t>
            </w:r>
          </w:p>
          <w:p w14:paraId="3ABB9012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3、结构：正、负极端子应有明显标志，且便于连结构接。</w:t>
            </w:r>
          </w:p>
          <w:p w14:paraId="4892D496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4、阻燃性能：应符合YD/T799-2010中第6.4条的要阻燃性能求，提供同系列产品MA、CNAS检测报告复印件并加盖公章。</w:t>
            </w:r>
          </w:p>
          <w:p w14:paraId="43F2545C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5、气密性：应能承受50kPa的正压或负压而不破气密性 裂、不开胶，压力释放后壳体无残余变形，提供同系列产品MA、CNAS检测报告复印件并加盖公章。</w:t>
            </w:r>
          </w:p>
          <w:p w14:paraId="429B2D68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6、容量保存率：静置28天后容量保存率应≥96%，提供同系列产品MA、CNAS检测报告复印件并加盖公章</w:t>
            </w:r>
          </w:p>
          <w:p w14:paraId="5629BC68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7、防酸雾性能：正常浮充工作过程中应无酸雾逸出，提供同系列产品MA、CNAS检测报告复印件并加盖公章</w:t>
            </w:r>
          </w:p>
          <w:p w14:paraId="4FC605EA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8、封口剂性能：环境温度-30C~+65C之间，封口剂应无裂纹与溢流现象，提供同系列产品MA、CNAS检测报告复印件并加盖公章</w:t>
            </w:r>
          </w:p>
          <w:p w14:paraId="5A59EDC1">
            <w:pPr>
              <w:jc w:val="left"/>
              <w:rPr>
                <w:rFonts w:cs="仿宋" w:asciiTheme="minorEastAsia" w:hAnsiTheme="minorEastAsia" w:eastAsiaTheme="minor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集成要求：</w:t>
            </w:r>
          </w:p>
          <w:p w14:paraId="36DD0F7E">
            <w:pPr>
              <w:jc w:val="left"/>
              <w:rPr>
                <w:rFonts w:ascii="Calibri" w:hAnsi="Calibri"/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1、提供电池柜替换现有电池柜，更换 UPS 及电池时不得影响医院业务的正常开展，费用中包含拆旧的搬迁费用</w:t>
            </w:r>
          </w:p>
        </w:tc>
      </w:tr>
      <w:tr w14:paraId="06364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 w14:paraId="2153AE44">
            <w:pPr>
              <w:jc w:val="center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01" w:type="dxa"/>
            <w:vAlign w:val="center"/>
          </w:tcPr>
          <w:p w14:paraId="225121D3">
            <w:pPr>
              <w:jc w:val="center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非实质性要求</w:t>
            </w:r>
          </w:p>
        </w:tc>
        <w:tc>
          <w:tcPr>
            <w:tcW w:w="5607" w:type="dxa"/>
          </w:tcPr>
          <w:p w14:paraId="1D8B5B32">
            <w:pPr>
              <w:jc w:val="left"/>
              <w:rPr>
                <w:rFonts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</w:tbl>
    <w:p w14:paraId="6F9D0BF6">
      <w:pPr>
        <w:pStyle w:val="6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p w14:paraId="36172C1D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三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、服务要求</w:t>
      </w:r>
    </w:p>
    <w:p w14:paraId="23AF278A">
      <w:pPr>
        <w:spacing w:line="560" w:lineRule="exact"/>
        <w:ind w:firstLine="560" w:firstLineChars="200"/>
        <w:rPr>
          <w:rFonts w:hint="eastAsia" w:ascii="宋体" w:hAnsi="宋体"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color w:val="000000"/>
          <w:sz w:val="28"/>
          <w:szCs w:val="28"/>
        </w:rPr>
        <w:t>1、质保期：供应商报价时须承诺所供货物的免费质保期为三年（自验收报告签字确认日起，开始进入质保期）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。</w:t>
      </w:r>
    </w:p>
    <w:p w14:paraId="78B40F0F">
      <w:pPr>
        <w:spacing w:line="56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2、服务响应时间：在接到服务请求1个小时内到达现场进行服务及保障。</w:t>
      </w:r>
    </w:p>
    <w:p w14:paraId="1D3505C3">
      <w:pPr>
        <w:spacing w:line="560" w:lineRule="exact"/>
        <w:ind w:firstLine="560" w:firstLineChars="200"/>
        <w:rPr>
          <w:rFonts w:hint="eastAsia" w:eastAsia="宋体"/>
          <w:lang w:eastAsia="zh-CN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color w:val="000000"/>
          <w:sz w:val="28"/>
          <w:szCs w:val="28"/>
        </w:rPr>
        <w:t>、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调研方</w:t>
      </w:r>
      <w:r>
        <w:rPr>
          <w:rFonts w:hint="eastAsia" w:ascii="宋体" w:hAnsi="宋体"/>
          <w:color w:val="000000"/>
          <w:sz w:val="28"/>
          <w:szCs w:val="28"/>
        </w:rPr>
        <w:t>必须是生产厂家或取得厂家授权的代理商，需提供原厂针对此项目的授权函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。</w:t>
      </w:r>
    </w:p>
    <w:p w14:paraId="5FE2EA4F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四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、项目实施要求</w:t>
      </w:r>
    </w:p>
    <w:p w14:paraId="54CC26D9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1、项目实施时间：签订合同之日起1个月内。</w:t>
      </w:r>
    </w:p>
    <w:p w14:paraId="0EE1C3E1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2、因采购人原因造成项目实施延期的，项目工期由采购人、供应商协商确定。</w:t>
      </w:r>
    </w:p>
    <w:p w14:paraId="137C540A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  <w:lang w:eastAsia="zh-CN"/>
        </w:rPr>
        <w:t>五</w:t>
      </w: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、付款条件</w:t>
      </w:r>
    </w:p>
    <w:p w14:paraId="7B3C0CA2">
      <w:pPr>
        <w:spacing w:line="560" w:lineRule="exact"/>
        <w:ind w:firstLine="560" w:firstLineChars="200"/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验收并合格后，支付合同总额的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90</w:t>
      </w:r>
      <w:r>
        <w:rPr>
          <w:rFonts w:hint="eastAsia" w:ascii="宋体" w:hAnsi="宋体" w:cs="仿宋_GB2312"/>
          <w:color w:val="000000"/>
          <w:sz w:val="28"/>
          <w:szCs w:val="28"/>
        </w:rPr>
        <w:t>%</w:t>
      </w:r>
      <w:r>
        <w:rPr>
          <w:rFonts w:hint="eastAsia" w:ascii="宋体" w:hAnsi="宋体" w:cs="仿宋_GB2312"/>
          <w:color w:val="000000"/>
          <w:sz w:val="28"/>
          <w:szCs w:val="28"/>
          <w:lang w:eastAsia="zh-CN"/>
        </w:rPr>
        <w:t>，一年后支付合同总额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10%。</w:t>
      </w:r>
    </w:p>
    <w:p w14:paraId="220AF9A4">
      <w:pPr>
        <w:spacing w:line="560" w:lineRule="exact"/>
        <w:rPr>
          <w:rFonts w:hint="eastAsia" w:ascii="宋体" w:hAnsi="宋体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  <w:lang w:val="en-US" w:eastAsia="zh-CN"/>
        </w:rPr>
        <w:t>六、现场调研</w:t>
      </w:r>
    </w:p>
    <w:p w14:paraId="56342D0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29E9212">
      <w:pPr>
        <w:spacing w:line="560" w:lineRule="exact"/>
        <w:ind w:firstLine="560" w:firstLineChars="200"/>
        <w:rPr>
          <w:rFonts w:hint="default" w:ascii="宋体" w:hAnsi="宋体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项目具体情况请查看现场，联系电话：唐工 13222777718。</w:t>
      </w:r>
      <w:bookmarkStart w:id="2" w:name="_GoBack"/>
      <w:bookmarkEnd w:id="2"/>
    </w:p>
    <w:bookmarkEnd w:id="1"/>
    <w:p w14:paraId="3E97F1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NTY2ZTUwZDFiNGIwMTQyY2QwNjkxYTlmY2E0NzYifQ=="/>
  </w:docVars>
  <w:rsids>
    <w:rsidRoot w:val="2EE127D2"/>
    <w:rsid w:val="2EE127D2"/>
    <w:rsid w:val="604D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120" w:after="120"/>
      <w:outlineLvl w:val="3"/>
    </w:pPr>
    <w:rPr>
      <w:rFonts w:ascii="Arial" w:hAnsi="Arial" w:eastAsia="黑体"/>
      <w:b/>
      <w:sz w:val="28"/>
      <w:szCs w:val="20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1177</Words>
  <Characters>1308</Characters>
  <Lines>0</Lines>
  <Paragraphs>0</Paragraphs>
  <TotalTime>1</TotalTime>
  <ScaleCrop>false</ScaleCrop>
  <LinksUpToDate>false</LinksUpToDate>
  <CharactersWithSpaces>1317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2024-10-24T06:12:00Z</dcterms:created>
  <dc:creator>施吉利</dc:creator>
  <cp:lastModifiedBy>施吉利</cp:lastModifiedBy>
  <dcterms:modified xsi:type="dcterms:W3CDTF">2024-10-24T06:22:59Z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7008CD7684C244A793276A3A973F1B21_11</vt:lpwstr>
  </property>
</Properties>
</file>