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1DF7F">
      <w:pPr>
        <w:numPr>
          <w:ilvl w:val="0"/>
          <w:numId w:val="1"/>
        </w:numPr>
        <w:spacing w:line="360" w:lineRule="auto"/>
        <w:ind w:leftChars="0"/>
        <w:rPr>
          <w:rFonts w:hint="eastAsia" w:ascii="宋体" w:hAnsi="宋体" w:eastAsia="宋体" w:cs="宋体"/>
          <w:sz w:val="28"/>
          <w:szCs w:val="28"/>
          <w:lang w:eastAsia="zh-CN"/>
        </w:rPr>
      </w:pPr>
      <w:r>
        <w:rPr>
          <w:rFonts w:hint="eastAsia" w:ascii="宋体" w:hAnsi="宋体" w:eastAsia="宋体" w:cs="宋体"/>
          <w:sz w:val="28"/>
          <w:szCs w:val="28"/>
          <w:lang w:eastAsia="zh-CN"/>
        </w:rPr>
        <w:t>项目建设背景及必要性</w:t>
      </w:r>
    </w:p>
    <w:p w14:paraId="5086DC78">
      <w:pPr>
        <w:widowControl w:val="0"/>
        <w:numPr>
          <w:ilvl w:val="0"/>
          <w:numId w:val="2"/>
        </w:numPr>
        <w:spacing w:line="360" w:lineRule="auto"/>
        <w:ind w:left="425" w:leftChars="0" w:hanging="425" w:firstLineChars="0"/>
        <w:jc w:val="both"/>
        <w:rPr>
          <w:rFonts w:hint="eastAsia" w:ascii="宋体" w:hAnsi="宋体" w:eastAsia="宋体" w:cs="宋体"/>
          <w:sz w:val="28"/>
          <w:szCs w:val="28"/>
        </w:rPr>
      </w:pPr>
      <w:r>
        <w:rPr>
          <w:rFonts w:hint="eastAsia" w:ascii="宋体" w:hAnsi="宋体" w:eastAsia="宋体" w:cs="宋体"/>
          <w:sz w:val="28"/>
          <w:szCs w:val="28"/>
        </w:rPr>
        <w:t>按照</w:t>
      </w:r>
      <w:r>
        <w:rPr>
          <w:rFonts w:hint="eastAsia" w:ascii="宋体" w:hAnsi="宋体" w:eastAsia="宋体" w:cs="宋体"/>
          <w:sz w:val="28"/>
          <w:szCs w:val="28"/>
          <w:lang w:val="en-US" w:eastAsia="zh-CN"/>
        </w:rPr>
        <w:t>2021年</w:t>
      </w:r>
      <w:r>
        <w:rPr>
          <w:rFonts w:hint="eastAsia" w:ascii="宋体" w:hAnsi="宋体" w:eastAsia="宋体" w:cs="宋体"/>
          <w:sz w:val="28"/>
          <w:szCs w:val="28"/>
        </w:rPr>
        <w:t>《公立医院成本核算规范》，医院需要准确核算科室成本、项目成本、病种成本</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DRG成本</w:t>
      </w:r>
      <w:r>
        <w:rPr>
          <w:rFonts w:hint="eastAsia" w:ascii="宋体" w:hAnsi="宋体" w:eastAsia="宋体" w:cs="宋体"/>
          <w:sz w:val="28"/>
          <w:szCs w:val="28"/>
        </w:rPr>
        <w:t>等，旧的成本软件系统无法满足这些新的核算要求。</w:t>
      </w:r>
    </w:p>
    <w:p w14:paraId="7EC9685A">
      <w:pPr>
        <w:widowControl w:val="0"/>
        <w:numPr>
          <w:ilvl w:val="0"/>
          <w:numId w:val="2"/>
        </w:numPr>
        <w:spacing w:line="360" w:lineRule="auto"/>
        <w:ind w:left="425" w:leftChars="0" w:hanging="425" w:firstLineChars="0"/>
        <w:jc w:val="both"/>
        <w:rPr>
          <w:rFonts w:hint="eastAsia" w:ascii="宋体" w:hAnsi="宋体" w:eastAsia="宋体" w:cs="宋体"/>
          <w:sz w:val="28"/>
          <w:szCs w:val="28"/>
        </w:rPr>
      </w:pPr>
      <w:r>
        <w:rPr>
          <w:rFonts w:hint="eastAsia" w:ascii="宋体" w:hAnsi="宋体" w:eastAsia="宋体" w:cs="宋体"/>
          <w:sz w:val="28"/>
          <w:szCs w:val="28"/>
          <w:lang w:val="en-US" w:eastAsia="zh-CN"/>
        </w:rPr>
        <w:t>医保支付</w:t>
      </w:r>
      <w:r>
        <w:rPr>
          <w:rFonts w:hint="eastAsia" w:ascii="宋体" w:hAnsi="宋体" w:eastAsia="宋体" w:cs="宋体"/>
          <w:sz w:val="28"/>
          <w:szCs w:val="28"/>
        </w:rPr>
        <w:t>按病种付费（DRG），医院需要更加精确地核算成本，以便合理定价、控制成本。升级后的成本软件系统能够更好地支持医保支付改革相关的成本核算和分析工作。</w:t>
      </w:r>
    </w:p>
    <w:p w14:paraId="5B915FA5">
      <w:pPr>
        <w:widowControl w:val="0"/>
        <w:numPr>
          <w:ilvl w:val="0"/>
          <w:numId w:val="2"/>
        </w:numPr>
        <w:spacing w:line="360" w:lineRule="auto"/>
        <w:ind w:left="425" w:leftChars="0" w:hanging="425" w:firstLineChars="0"/>
        <w:jc w:val="both"/>
        <w:rPr>
          <w:rFonts w:hint="eastAsia" w:ascii="宋体" w:hAnsi="宋体" w:eastAsia="宋体" w:cs="宋体"/>
          <w:sz w:val="28"/>
          <w:szCs w:val="28"/>
        </w:rPr>
      </w:pPr>
      <w:r>
        <w:rPr>
          <w:rFonts w:hint="eastAsia" w:ascii="宋体" w:hAnsi="宋体" w:eastAsia="宋体" w:cs="宋体"/>
          <w:sz w:val="28"/>
          <w:szCs w:val="28"/>
          <w:lang w:eastAsia="zh-CN"/>
        </w:rPr>
        <w:t>提升</w:t>
      </w:r>
      <w:r>
        <w:rPr>
          <w:rFonts w:hint="eastAsia" w:ascii="宋体" w:hAnsi="宋体" w:eastAsia="宋体" w:cs="宋体"/>
          <w:sz w:val="28"/>
          <w:szCs w:val="28"/>
        </w:rPr>
        <w:t>分析功能</w:t>
      </w:r>
      <w:r>
        <w:rPr>
          <w:rFonts w:hint="eastAsia" w:ascii="宋体" w:hAnsi="宋体" w:eastAsia="宋体" w:cs="宋体"/>
          <w:sz w:val="28"/>
          <w:szCs w:val="28"/>
          <w:lang w:eastAsia="zh-CN"/>
        </w:rPr>
        <w:t>，提供</w:t>
      </w:r>
      <w:r>
        <w:rPr>
          <w:rFonts w:hint="eastAsia" w:ascii="宋体" w:hAnsi="宋体" w:eastAsia="宋体" w:cs="宋体"/>
          <w:sz w:val="28"/>
          <w:szCs w:val="28"/>
        </w:rPr>
        <w:t>多维度分析、趋势分析、对比分析等，帮助管理层深入了解成本结构、成本变化的原因，发现成本控制的关键点和薄弱环节，制定针对性的成本管理策略。</w:t>
      </w:r>
    </w:p>
    <w:p w14:paraId="78CB1BF1">
      <w:pPr>
        <w:widowControl w:val="0"/>
        <w:numPr>
          <w:ilvl w:val="0"/>
          <w:numId w:val="2"/>
        </w:numPr>
        <w:spacing w:line="360" w:lineRule="auto"/>
        <w:ind w:left="425" w:leftChars="0" w:hanging="425" w:firstLineChars="0"/>
        <w:jc w:val="both"/>
        <w:rPr>
          <w:rFonts w:hint="eastAsia" w:ascii="宋体" w:hAnsi="宋体" w:eastAsia="宋体" w:cs="宋体"/>
          <w:sz w:val="28"/>
          <w:szCs w:val="28"/>
        </w:rPr>
      </w:pPr>
      <w:r>
        <w:rPr>
          <w:rFonts w:hint="eastAsia" w:ascii="宋体" w:hAnsi="宋体" w:eastAsia="宋体" w:cs="宋体"/>
          <w:sz w:val="28"/>
          <w:szCs w:val="28"/>
        </w:rPr>
        <w:t>旧的成本软件系统操作流程复杂、效率低下。</w:t>
      </w:r>
    </w:p>
    <w:p w14:paraId="21D99DBE">
      <w:pPr>
        <w:numPr>
          <w:ilvl w:val="0"/>
          <w:numId w:val="0"/>
        </w:numPr>
        <w:spacing w:line="360" w:lineRule="auto"/>
        <w:rPr>
          <w:rFonts w:hint="eastAsia" w:ascii="宋体" w:hAnsi="宋体" w:eastAsia="宋体" w:cs="宋体"/>
          <w:sz w:val="28"/>
          <w:szCs w:val="28"/>
          <w:lang w:eastAsia="zh-CN"/>
        </w:rPr>
      </w:pPr>
      <w:r>
        <w:rPr>
          <w:rFonts w:hint="eastAsia" w:ascii="宋体" w:hAnsi="宋体" w:eastAsia="宋体" w:cs="宋体"/>
          <w:sz w:val="28"/>
          <w:szCs w:val="28"/>
          <w:lang w:eastAsia="zh-CN"/>
        </w:rPr>
        <w:t>二、具体建设内容</w:t>
      </w:r>
    </w:p>
    <w:p w14:paraId="17051EBD">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确保能从医院各个系统（如 HIS 系统、会计核算系统、</w:t>
      </w:r>
      <w:bookmarkStart w:id="0" w:name="_GoBack"/>
      <w:bookmarkEnd w:id="0"/>
      <w:r>
        <w:rPr>
          <w:rFonts w:hint="eastAsia" w:ascii="宋体" w:hAnsi="宋体" w:eastAsia="宋体" w:cs="宋体"/>
          <w:sz w:val="28"/>
          <w:szCs w:val="28"/>
        </w:rPr>
        <w:t>物资系统、固定资产系统等）准确、完整地采集成本相关数据，避免数据遗漏或错误。</w:t>
      </w:r>
    </w:p>
    <w:p w14:paraId="56C6791A">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具备实时数据采集能力，及时反映医院成本的动态变化。例如，患者在门诊或住院过程中产生的各项费用，能够实时传输到成本软件系统中</w:t>
      </w:r>
      <w:r>
        <w:rPr>
          <w:rFonts w:hint="eastAsia" w:ascii="宋体" w:hAnsi="宋体" w:eastAsia="宋体" w:cs="宋体"/>
          <w:sz w:val="28"/>
          <w:szCs w:val="28"/>
          <w:lang w:eastAsia="zh-CN"/>
        </w:rPr>
        <w:t>。</w:t>
      </w:r>
    </w:p>
    <w:p w14:paraId="29CD980B">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多样化的分摊方法：除了常见的分摊方法（如按业务收入分摊、科室人数分摊、临床科室开单医技科室执行的比例分配法等），系统应支持医院根据自身需求自定义分摊方法，或者提供更科学、合理的分摊</w:t>
      </w:r>
      <w:r>
        <w:rPr>
          <w:rFonts w:hint="eastAsia" w:ascii="宋体" w:hAnsi="宋体" w:eastAsia="宋体" w:cs="宋体"/>
          <w:sz w:val="28"/>
          <w:szCs w:val="28"/>
          <w:lang w:eastAsia="zh-CN"/>
        </w:rPr>
        <w:t>方法</w:t>
      </w:r>
      <w:r>
        <w:rPr>
          <w:rFonts w:hint="eastAsia" w:ascii="宋体" w:hAnsi="宋体" w:eastAsia="宋体" w:cs="宋体"/>
          <w:sz w:val="28"/>
          <w:szCs w:val="28"/>
        </w:rPr>
        <w:t>。</w:t>
      </w:r>
    </w:p>
    <w:p w14:paraId="032461CC">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病种成本核算功能强化：准确核算不同病种的成本，为医院的病种管理和医保付费谈判提供数据支持。</w:t>
      </w:r>
    </w:p>
    <w:p w14:paraId="76844C39">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项目成本核算精细化：对于医院开展的各种医疗项目，能够进行细致的成本核算，分析每个项目的成本构成和盈利情况。</w:t>
      </w:r>
    </w:p>
    <w:p w14:paraId="2290DC47">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自定义报表功能：允许医院用户根据自己的需求，定制各种成本报表，包括不同时间段、不同科室、不同项目的成本报表。</w:t>
      </w:r>
    </w:p>
    <w:p w14:paraId="606AAFF4">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多维度分析功能：提供多维度的成本分析功能，如趋势分析、结构分析、对比分析等。</w:t>
      </w:r>
      <w:r>
        <w:rPr>
          <w:rFonts w:hint="eastAsia" w:ascii="宋体" w:hAnsi="宋体" w:eastAsia="宋体" w:cs="宋体"/>
          <w:sz w:val="28"/>
          <w:szCs w:val="28"/>
          <w:lang w:eastAsia="zh-CN"/>
        </w:rPr>
        <w:t>最好还能</w:t>
      </w:r>
      <w:r>
        <w:rPr>
          <w:rFonts w:hint="eastAsia" w:ascii="宋体" w:hAnsi="宋体" w:eastAsia="宋体" w:cs="宋体"/>
          <w:sz w:val="28"/>
          <w:szCs w:val="28"/>
        </w:rPr>
        <w:t>将医院的成本数据与同级别医院或行业标准进行对比。</w:t>
      </w:r>
    </w:p>
    <w:p w14:paraId="100F2F72">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可视化展示：以图表、图形等直观的方式展示成本数据和分析结果。</w:t>
      </w:r>
    </w:p>
    <w:p w14:paraId="69BC74E8">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处理速度优化，能够快速完成数据的采集、核算和分析等操作，减少系统的响应时间，提高工作效率。</w:t>
      </w:r>
    </w:p>
    <w:p w14:paraId="61943B77">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建立完善的数据备份机制，定期对数据进行备份，防止数据丢失或损坏。</w:t>
      </w:r>
    </w:p>
    <w:p w14:paraId="5C4EE3B4">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用户界面友好性简洁、直观，方便医院工作人员使用。操作流程要简单易懂，减少操作失误和培训成本。</w:t>
      </w:r>
    </w:p>
    <w:p w14:paraId="4E2E39F2">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权限管理与数据安全：建立严格的用户权限管理机制，根据不同用户的角色和职责，分配相应的操作权限和数据访问权限。</w:t>
      </w:r>
    </w:p>
    <w:p w14:paraId="6BF692BF">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医保系统对接：与医保系统实现对接，</w:t>
      </w:r>
      <w:r>
        <w:rPr>
          <w:rFonts w:hint="eastAsia" w:ascii="宋体" w:hAnsi="宋体" w:eastAsia="宋体" w:cs="宋体"/>
          <w:sz w:val="28"/>
          <w:szCs w:val="28"/>
          <w:lang w:eastAsia="zh-CN"/>
        </w:rPr>
        <w:t>如</w:t>
      </w:r>
      <w:r>
        <w:rPr>
          <w:rFonts w:hint="eastAsia" w:ascii="宋体" w:hAnsi="宋体" w:eastAsia="宋体" w:cs="宋体"/>
          <w:sz w:val="28"/>
          <w:szCs w:val="28"/>
          <w:lang w:val="en-US" w:eastAsia="zh-CN"/>
        </w:rPr>
        <w:t>DRG成本数据与医保返回数据对比分析，直观显示病组成本及盈利亏损情况。</w:t>
      </w:r>
    </w:p>
    <w:p w14:paraId="030A27EE">
      <w:pPr>
        <w:numPr>
          <w:ilvl w:val="0"/>
          <w:numId w:val="3"/>
        </w:numPr>
        <w:spacing w:line="360" w:lineRule="auto"/>
        <w:ind w:left="425" w:leftChars="0" w:hanging="425" w:firstLineChars="0"/>
        <w:rPr>
          <w:rFonts w:hint="eastAsia" w:ascii="宋体" w:hAnsi="宋体" w:eastAsia="宋体" w:cs="宋体"/>
          <w:sz w:val="28"/>
          <w:szCs w:val="28"/>
        </w:rPr>
      </w:pPr>
      <w:r>
        <w:rPr>
          <w:rFonts w:hint="eastAsia" w:ascii="宋体" w:hAnsi="宋体" w:eastAsia="宋体" w:cs="宋体"/>
          <w:sz w:val="28"/>
          <w:szCs w:val="28"/>
        </w:rPr>
        <w:t>政府监管系统对接：与政府相关部门的监管系统进行对接，按照规定的格式和要求上报医院的成本数据，满足政府部门对公立医院的监管需求。</w:t>
      </w:r>
    </w:p>
    <w:p w14:paraId="22188D98">
      <w:pPr>
        <w:widowControl w:val="0"/>
        <w:numPr>
          <w:ilvl w:val="0"/>
          <w:numId w:val="0"/>
        </w:numPr>
        <w:spacing w:line="360" w:lineRule="auto"/>
        <w:jc w:val="both"/>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15.现场准备演示，不超过20分钟</w:t>
      </w:r>
    </w:p>
    <w:p w14:paraId="79350FBA">
      <w:pPr>
        <w:widowControl w:val="0"/>
        <w:numPr>
          <w:ilvl w:val="0"/>
          <w:numId w:val="0"/>
        </w:numPr>
        <w:spacing w:line="360" w:lineRule="auto"/>
        <w:jc w:val="both"/>
        <w:rPr>
          <w:rFonts w:hint="eastAsia" w:ascii="宋体" w:hAnsi="宋体" w:eastAsia="宋体" w:cs="宋体"/>
          <w:sz w:val="28"/>
          <w:szCs w:val="28"/>
        </w:rPr>
      </w:pPr>
    </w:p>
    <w:p w14:paraId="37BAAB65">
      <w:pPr>
        <w:widowControl w:val="0"/>
        <w:numPr>
          <w:ilvl w:val="0"/>
          <w:numId w:val="0"/>
        </w:numPr>
        <w:spacing w:line="360" w:lineRule="auto"/>
        <w:jc w:val="both"/>
        <w:rPr>
          <w:rFonts w:hint="eastAsia" w:ascii="宋体" w:hAnsi="宋体" w:eastAsia="宋体" w:cs="宋体"/>
          <w:sz w:val="28"/>
          <w:szCs w:val="28"/>
        </w:rPr>
      </w:pPr>
    </w:p>
    <w:p w14:paraId="2A8C6522">
      <w:pPr>
        <w:widowControl w:val="0"/>
        <w:numPr>
          <w:ilvl w:val="0"/>
          <w:numId w:val="0"/>
        </w:numPr>
        <w:spacing w:line="360" w:lineRule="auto"/>
        <w:jc w:val="both"/>
        <w:rPr>
          <w:rFonts w:hint="eastAsia" w:ascii="宋体" w:hAnsi="宋体" w:eastAsia="宋体" w:cs="宋体"/>
          <w:sz w:val="28"/>
          <w:szCs w:val="28"/>
        </w:rPr>
      </w:pPr>
    </w:p>
    <w:p w14:paraId="4AD7872C">
      <w:pPr>
        <w:widowControl w:val="0"/>
        <w:numPr>
          <w:ilvl w:val="0"/>
          <w:numId w:val="0"/>
        </w:numPr>
        <w:spacing w:line="360" w:lineRule="auto"/>
        <w:jc w:val="both"/>
        <w:rPr>
          <w:rFonts w:hint="eastAsia" w:ascii="宋体" w:hAnsi="宋体" w:eastAsia="宋体" w:cs="宋体"/>
          <w:sz w:val="28"/>
          <w:szCs w:val="28"/>
        </w:rPr>
      </w:pPr>
    </w:p>
    <w:p w14:paraId="042C9DA8">
      <w:pPr>
        <w:widowControl w:val="0"/>
        <w:numPr>
          <w:ilvl w:val="0"/>
          <w:numId w:val="0"/>
        </w:numPr>
        <w:spacing w:line="360" w:lineRule="auto"/>
        <w:jc w:val="both"/>
        <w:rPr>
          <w:rFonts w:hint="eastAsia" w:ascii="宋体" w:hAnsi="宋体" w:eastAsia="宋体" w:cs="宋体"/>
          <w:sz w:val="28"/>
          <w:szCs w:val="28"/>
        </w:rPr>
      </w:pPr>
    </w:p>
    <w:p w14:paraId="57A22445">
      <w:pPr>
        <w:widowControl w:val="0"/>
        <w:numPr>
          <w:ilvl w:val="0"/>
          <w:numId w:val="0"/>
        </w:numPr>
        <w:spacing w:line="360" w:lineRule="auto"/>
        <w:jc w:val="both"/>
        <w:rPr>
          <w:rFonts w:hint="eastAsia" w:ascii="宋体" w:hAnsi="宋体" w:eastAsia="宋体" w:cs="宋体"/>
          <w:sz w:val="28"/>
          <w:szCs w:val="28"/>
        </w:rPr>
      </w:pPr>
    </w:p>
    <w:p w14:paraId="2F57EA93">
      <w:pPr>
        <w:widowControl w:val="0"/>
        <w:numPr>
          <w:ilvl w:val="0"/>
          <w:numId w:val="0"/>
        </w:numPr>
        <w:spacing w:line="360" w:lineRule="auto"/>
        <w:jc w:val="both"/>
        <w:rPr>
          <w:rFonts w:hint="eastAsia" w:ascii="宋体" w:hAnsi="宋体" w:eastAsia="宋体" w:cs="宋体"/>
          <w:sz w:val="28"/>
          <w:szCs w:val="28"/>
        </w:rPr>
      </w:pPr>
    </w:p>
    <w:p w14:paraId="0421A0D6">
      <w:pPr>
        <w:widowControl w:val="0"/>
        <w:numPr>
          <w:ilvl w:val="0"/>
          <w:numId w:val="0"/>
        </w:numPr>
        <w:spacing w:line="360" w:lineRule="auto"/>
        <w:jc w:val="both"/>
        <w:rPr>
          <w:rFonts w:hint="eastAsia" w:ascii="宋体" w:hAnsi="宋体" w:eastAsia="宋体" w:cs="宋体"/>
          <w:sz w:val="28"/>
          <w:szCs w:val="28"/>
        </w:rPr>
      </w:pPr>
    </w:p>
    <w:p w14:paraId="209DEB48">
      <w:pPr>
        <w:widowControl w:val="0"/>
        <w:numPr>
          <w:ilvl w:val="0"/>
          <w:numId w:val="0"/>
        </w:numPr>
        <w:spacing w:line="360" w:lineRule="auto"/>
        <w:jc w:val="both"/>
        <w:rPr>
          <w:rFonts w:hint="eastAsia" w:ascii="宋体" w:hAnsi="宋体" w:eastAsia="宋体" w:cs="宋体"/>
          <w:sz w:val="28"/>
          <w:szCs w:val="28"/>
        </w:rPr>
      </w:pPr>
    </w:p>
    <w:p w14:paraId="3956D21E">
      <w:pPr>
        <w:widowControl w:val="0"/>
        <w:numPr>
          <w:ilvl w:val="0"/>
          <w:numId w:val="0"/>
        </w:numPr>
        <w:spacing w:line="360" w:lineRule="auto"/>
        <w:jc w:val="both"/>
        <w:rPr>
          <w:rFonts w:hint="eastAsia" w:ascii="宋体" w:hAnsi="宋体" w:eastAsia="宋体" w:cs="宋体"/>
          <w:sz w:val="28"/>
          <w:szCs w:val="28"/>
        </w:rPr>
      </w:pPr>
      <w:r>
        <w:rPr>
          <w:rFonts w:hint="eastAsia" w:ascii="宋体" w:hAnsi="宋体" w:eastAsia="宋体" w:cs="宋体"/>
          <w:sz w:val="28"/>
          <w:szCs w:val="28"/>
        </w:rPr>
        <w:t>医院升级成本软件系统原因：</w:t>
      </w:r>
    </w:p>
    <w:p w14:paraId="4B2057C6">
      <w:pPr>
        <w:widowControl w:val="0"/>
        <w:numPr>
          <w:ilvl w:val="0"/>
          <w:numId w:val="0"/>
        </w:numPr>
        <w:spacing w:line="360" w:lineRule="auto"/>
        <w:jc w:val="both"/>
        <w:rPr>
          <w:rFonts w:hint="eastAsia" w:ascii="宋体" w:hAnsi="宋体" w:eastAsia="宋体" w:cs="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65D0E4"/>
    <w:multiLevelType w:val="singleLevel"/>
    <w:tmpl w:val="9F65D0E4"/>
    <w:lvl w:ilvl="0" w:tentative="0">
      <w:start w:val="1"/>
      <w:numFmt w:val="chineseCounting"/>
      <w:suff w:val="nothing"/>
      <w:lvlText w:val="%1、"/>
      <w:lvlJc w:val="left"/>
      <w:rPr>
        <w:rFonts w:hint="eastAsia"/>
      </w:rPr>
    </w:lvl>
  </w:abstractNum>
  <w:abstractNum w:abstractNumId="1">
    <w:nsid w:val="C5913030"/>
    <w:multiLevelType w:val="singleLevel"/>
    <w:tmpl w:val="C5913030"/>
    <w:lvl w:ilvl="0" w:tentative="0">
      <w:start w:val="1"/>
      <w:numFmt w:val="decimal"/>
      <w:lvlText w:val="%1."/>
      <w:lvlJc w:val="left"/>
      <w:pPr>
        <w:ind w:left="425" w:hanging="425"/>
      </w:pPr>
      <w:rPr>
        <w:rFonts w:hint="default"/>
      </w:rPr>
    </w:lvl>
  </w:abstractNum>
  <w:abstractNum w:abstractNumId="2">
    <w:nsid w:val="293C65DA"/>
    <w:multiLevelType w:val="singleLevel"/>
    <w:tmpl w:val="293C65DA"/>
    <w:lvl w:ilvl="0" w:tentative="0">
      <w:start w:val="1"/>
      <w:numFmt w:val="decimal"/>
      <w:lvlText w:val="%1."/>
      <w:lvlJc w:val="left"/>
      <w:pPr>
        <w:ind w:left="425" w:hanging="425"/>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NTg5ODAwOTNjZDQ1MTBjMWQ4ZDg3NmYyNTllZjIifQ=="/>
  </w:docVars>
  <w:rsids>
    <w:rsidRoot w:val="12823653"/>
    <w:rsid w:val="12823653"/>
    <w:rsid w:val="196E4F8F"/>
    <w:rsid w:val="19D77D76"/>
    <w:rsid w:val="1C6B77D5"/>
    <w:rsid w:val="1EE2719C"/>
    <w:rsid w:val="1FEB79A2"/>
    <w:rsid w:val="209C6978"/>
    <w:rsid w:val="2E734E6D"/>
    <w:rsid w:val="2EDD1B3D"/>
    <w:rsid w:val="41CB477D"/>
    <w:rsid w:val="471E5E67"/>
    <w:rsid w:val="4FC663AA"/>
    <w:rsid w:val="542B571F"/>
    <w:rsid w:val="5DB057B9"/>
    <w:rsid w:val="69C2185B"/>
    <w:rsid w:val="6F067CF7"/>
    <w:rsid w:val="7620778A"/>
    <w:rsid w:val="7E7E3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1040</Words>
  <Characters>1054</Characters>
  <Lines>0</Lines>
  <Paragraphs>0</Paragraphs>
  <TotalTime>3</TotalTime>
  <ScaleCrop>false</ScaleCrop>
  <LinksUpToDate>false</LinksUpToDate>
  <CharactersWithSpaces>1056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2024-09-24T02:52:00Z</dcterms:created>
  <dc:creator>WPS_1724205426</dc:creator>
  <cp:lastModifiedBy>WPS_1591318262</cp:lastModifiedBy>
  <cp:lastPrinted>2024-09-24T06:10:00Z</cp:lastPrinted>
  <dcterms:modified xsi:type="dcterms:W3CDTF">2024-09-27T00:51:49Z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25C3073CDF554F84975121F3BA294F06_13</vt:lpwstr>
  </property>
</Properties>
</file>