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bookmarkStart w:id="9" w:name="_GoBack"/>
      <w:bookmarkEnd w:id="9"/>
    </w:p>
    <w:p>
      <w:pPr>
        <w:rPr>
          <w:rFonts w:ascii="仿宋" w:hAnsi="仿宋" w:eastAsia="仿宋"/>
        </w:rPr>
      </w:pPr>
    </w:p>
    <w:p>
      <w:pPr>
        <w:jc w:val="center"/>
        <w:rPr>
          <w:rFonts w:hint="eastAsia" w:ascii="宋体" w:hAnsi="宋体" w:eastAsia="宋体" w:cs="宋体"/>
          <w:b/>
          <w:bCs w:val="0"/>
          <w:sz w:val="84"/>
          <w:szCs w:val="84"/>
        </w:rPr>
      </w:pPr>
    </w:p>
    <w:p>
      <w:pPr>
        <w:jc w:val="center"/>
        <w:rPr>
          <w:rFonts w:hint="eastAsia" w:ascii="宋体" w:hAnsi="宋体" w:eastAsia="宋体" w:cs="宋体"/>
          <w:b/>
          <w:bCs w:val="0"/>
          <w:sz w:val="84"/>
          <w:szCs w:val="84"/>
        </w:rPr>
      </w:pPr>
      <w:r>
        <w:rPr>
          <w:rFonts w:hint="eastAsia" w:ascii="宋体" w:hAnsi="宋体" w:eastAsia="宋体" w:cs="宋体"/>
          <w:b/>
          <w:bCs w:val="0"/>
          <w:sz w:val="84"/>
          <w:szCs w:val="84"/>
        </w:rPr>
        <w:t>江苏省第二中医院</w:t>
      </w:r>
    </w:p>
    <w:p>
      <w:pPr>
        <w:jc w:val="center"/>
        <w:rPr>
          <w:rFonts w:hint="eastAsia" w:ascii="宋体" w:hAnsi="宋体" w:eastAsia="宋体" w:cs="宋体"/>
          <w:b/>
          <w:bCs w:val="0"/>
          <w:sz w:val="84"/>
          <w:szCs w:val="84"/>
        </w:rPr>
      </w:pPr>
    </w:p>
    <w:p>
      <w:pPr>
        <w:jc w:val="center"/>
        <w:rPr>
          <w:rFonts w:hint="eastAsia" w:ascii="宋体" w:hAnsi="宋体" w:eastAsia="宋体" w:cs="宋体"/>
          <w:b/>
          <w:bCs w:val="0"/>
          <w:sz w:val="72"/>
          <w:szCs w:val="72"/>
          <w:lang w:eastAsia="zh-CN"/>
        </w:rPr>
      </w:pPr>
      <w:r>
        <w:rPr>
          <w:rFonts w:hint="eastAsia" w:ascii="宋体" w:hAnsi="宋体" w:eastAsia="宋体" w:cs="宋体"/>
          <w:b/>
          <w:bCs w:val="0"/>
          <w:sz w:val="72"/>
          <w:szCs w:val="72"/>
          <w:lang w:eastAsia="zh-CN"/>
        </w:rPr>
        <w:t>智慧服务</w:t>
      </w:r>
      <w:r>
        <w:rPr>
          <w:rFonts w:hint="eastAsia" w:ascii="宋体" w:hAnsi="宋体" w:eastAsia="宋体" w:cs="宋体"/>
          <w:b/>
          <w:bCs w:val="0"/>
          <w:sz w:val="72"/>
          <w:szCs w:val="72"/>
        </w:rPr>
        <w:t>建设</w:t>
      </w:r>
      <w:r>
        <w:rPr>
          <w:rFonts w:hint="eastAsia" w:ascii="宋体" w:hAnsi="宋体" w:eastAsia="宋体" w:cs="宋体"/>
          <w:b/>
          <w:bCs w:val="0"/>
          <w:sz w:val="72"/>
          <w:szCs w:val="72"/>
          <w:lang w:eastAsia="zh-CN"/>
        </w:rPr>
        <w:t>需求</w:t>
      </w:r>
    </w:p>
    <w:p>
      <w:pPr>
        <w:jc w:val="left"/>
        <w:rPr>
          <w:rFonts w:hint="eastAsia" w:ascii="仿宋" w:hAnsi="仿宋" w:eastAsia="仿宋"/>
          <w:sz w:val="24"/>
          <w:szCs w:val="24"/>
        </w:rPr>
      </w:pPr>
      <w:r>
        <w:rPr>
          <w:rFonts w:hint="eastAsia" w:ascii="仿宋" w:hAnsi="仿宋" w:eastAsia="仿宋"/>
          <w:sz w:val="24"/>
          <w:szCs w:val="24"/>
        </w:rPr>
        <w:t xml:space="preserve">                      </w:t>
      </w: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default" w:ascii="仿宋" w:hAnsi="仿宋" w:eastAsia="仿宋"/>
          <w:sz w:val="24"/>
          <w:szCs w:val="24"/>
          <w:lang w:val="en-US" w:eastAsia="zh-CN"/>
        </w:rPr>
      </w:pPr>
      <w:r>
        <w:rPr>
          <w:rFonts w:hint="eastAsia" w:ascii="仿宋" w:hAnsi="仿宋" w:eastAsia="仿宋"/>
          <w:sz w:val="24"/>
          <w:szCs w:val="24"/>
        </w:rPr>
        <w:t xml:space="preserve">                     </w:t>
      </w: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jc w:val="left"/>
        <w:rPr>
          <w:rFonts w:hint="eastAsia" w:ascii="仿宋" w:hAnsi="仿宋" w:eastAsia="仿宋"/>
          <w:sz w:val="24"/>
          <w:szCs w:val="24"/>
        </w:rPr>
      </w:pPr>
    </w:p>
    <w:p>
      <w:pPr>
        <w:ind w:firstLine="2880" w:firstLineChars="1200"/>
        <w:jc w:val="left"/>
        <w:rPr>
          <w:rFonts w:hint="eastAsia" w:ascii="仿宋" w:hAnsi="仿宋" w:eastAsia="仿宋"/>
          <w:sz w:val="28"/>
          <w:szCs w:val="28"/>
          <w:lang w:eastAsia="zh-CN"/>
        </w:rPr>
      </w:pPr>
      <w:r>
        <w:rPr>
          <w:rFonts w:hint="eastAsia" w:ascii="仿宋" w:hAnsi="仿宋" w:eastAsia="仿宋"/>
          <w:sz w:val="24"/>
          <w:szCs w:val="24"/>
        </w:rPr>
        <w:t xml:space="preserve">    </w:t>
      </w:r>
      <w:r>
        <w:rPr>
          <w:rFonts w:hint="eastAsia" w:ascii="仿宋" w:hAnsi="仿宋" w:eastAsia="仿宋"/>
          <w:sz w:val="28"/>
          <w:szCs w:val="28"/>
          <w:lang w:eastAsia="zh-CN"/>
        </w:rPr>
        <w:t>数</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据</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中</w:t>
      </w:r>
      <w:r>
        <w:rPr>
          <w:rFonts w:hint="eastAsia" w:ascii="仿宋" w:hAnsi="仿宋" w:eastAsia="仿宋"/>
          <w:sz w:val="28"/>
          <w:szCs w:val="28"/>
          <w:lang w:val="en-US" w:eastAsia="zh-CN"/>
        </w:rPr>
        <w:t xml:space="preserve"> </w:t>
      </w:r>
      <w:r>
        <w:rPr>
          <w:rFonts w:hint="eastAsia" w:ascii="仿宋" w:hAnsi="仿宋" w:eastAsia="仿宋"/>
          <w:sz w:val="28"/>
          <w:szCs w:val="28"/>
          <w:lang w:eastAsia="zh-CN"/>
        </w:rPr>
        <w:t>心</w:t>
      </w:r>
    </w:p>
    <w:p>
      <w:pPr>
        <w:widowControl/>
        <w:jc w:val="left"/>
        <w:rPr>
          <w:rFonts w:ascii="仿宋" w:hAnsi="仿宋" w:eastAsia="仿宋"/>
          <w:sz w:val="28"/>
          <w:szCs w:val="28"/>
        </w:rPr>
      </w:pPr>
      <w:r>
        <w:rPr>
          <w:rFonts w:hint="eastAsia" w:ascii="仿宋" w:hAnsi="仿宋" w:eastAsia="仿宋"/>
          <w:sz w:val="28"/>
          <w:szCs w:val="28"/>
        </w:rPr>
        <w:t xml:space="preserve">                        20</w:t>
      </w:r>
      <w:r>
        <w:rPr>
          <w:rFonts w:hint="eastAsia" w:ascii="仿宋" w:hAnsi="仿宋" w:eastAsia="仿宋"/>
          <w:sz w:val="28"/>
          <w:szCs w:val="28"/>
          <w:lang w:val="en-US" w:eastAsia="zh-CN"/>
        </w:rPr>
        <w:t>20</w:t>
      </w:r>
      <w:r>
        <w:rPr>
          <w:rFonts w:hint="eastAsia" w:ascii="仿宋" w:hAnsi="仿宋" w:eastAsia="仿宋"/>
          <w:sz w:val="28"/>
          <w:szCs w:val="28"/>
        </w:rPr>
        <w:t>年</w:t>
      </w:r>
      <w:r>
        <w:rPr>
          <w:rFonts w:hint="eastAsia" w:ascii="仿宋" w:hAnsi="仿宋" w:eastAsia="仿宋"/>
          <w:sz w:val="28"/>
          <w:szCs w:val="28"/>
          <w:lang w:val="en-US" w:eastAsia="zh-CN"/>
        </w:rPr>
        <w:t>3</w:t>
      </w:r>
      <w:r>
        <w:rPr>
          <w:rFonts w:hint="eastAsia" w:ascii="仿宋" w:hAnsi="仿宋" w:eastAsia="仿宋"/>
          <w:sz w:val="28"/>
          <w:szCs w:val="28"/>
        </w:rPr>
        <w:t xml:space="preserve">月 </w:t>
      </w:r>
    </w:p>
    <w:p>
      <w:pPr>
        <w:pStyle w:val="36"/>
        <w:spacing w:line="360" w:lineRule="auto"/>
        <w:jc w:val="center"/>
        <w:rPr>
          <w:rFonts w:ascii="仿宋" w:hAnsi="仿宋" w:eastAsia="仿宋" w:cstheme="minorBidi"/>
          <w:color w:val="auto"/>
          <w:kern w:val="2"/>
          <w:sz w:val="21"/>
          <w:szCs w:val="22"/>
          <w:lang w:val="zh-CN"/>
        </w:rPr>
        <w:sectPr>
          <w:pgSz w:w="11906" w:h="16838"/>
          <w:pgMar w:top="1440" w:right="1800" w:bottom="1440" w:left="1800" w:header="851" w:footer="992" w:gutter="0"/>
          <w:cols w:space="425" w:num="1"/>
          <w:docGrid w:type="lines" w:linePitch="312" w:charSpace="0"/>
        </w:sectPr>
      </w:pPr>
    </w:p>
    <w:sdt>
      <w:sdtPr>
        <w:rPr>
          <w:rFonts w:ascii="仿宋" w:hAnsi="仿宋" w:eastAsia="仿宋" w:cstheme="minorBidi"/>
          <w:color w:val="auto"/>
          <w:kern w:val="2"/>
          <w:sz w:val="21"/>
          <w:szCs w:val="22"/>
          <w:lang w:val="zh-CN"/>
        </w:rPr>
        <w:id w:val="-1920315348"/>
        <w:docPartObj>
          <w:docPartGallery w:val="Table of Contents"/>
          <w:docPartUnique/>
        </w:docPartObj>
      </w:sdtPr>
      <w:sdtEndPr>
        <w:rPr>
          <w:rFonts w:ascii="仿宋" w:hAnsi="仿宋" w:eastAsia="仿宋" w:cstheme="minorBidi"/>
          <w:b/>
          <w:bCs/>
          <w:color w:val="auto"/>
          <w:kern w:val="2"/>
          <w:sz w:val="21"/>
          <w:szCs w:val="22"/>
          <w:lang w:val="zh-CN"/>
        </w:rPr>
      </w:sdtEndPr>
      <w:sdtContent>
        <w:p>
          <w:pPr>
            <w:pStyle w:val="36"/>
            <w:spacing w:line="360" w:lineRule="auto"/>
            <w:jc w:val="center"/>
            <w:rPr>
              <w:rFonts w:ascii="仿宋" w:hAnsi="仿宋" w:eastAsia="仿宋"/>
            </w:rPr>
          </w:pPr>
          <w:r>
            <w:rPr>
              <w:rFonts w:ascii="仿宋" w:hAnsi="仿宋" w:eastAsia="仿宋"/>
              <w:lang w:val="zh-CN"/>
            </w:rPr>
            <w:t>目录</w:t>
          </w:r>
        </w:p>
        <w:p>
          <w:pPr>
            <w:pStyle w:val="17"/>
            <w:tabs>
              <w:tab w:val="right" w:leader="dot" w:pos="8306"/>
            </w:tabs>
          </w:pPr>
          <w:r>
            <w:rPr>
              <w:rFonts w:ascii="仿宋" w:hAnsi="仿宋" w:eastAsia="仿宋"/>
            </w:rPr>
            <w:fldChar w:fldCharType="begin"/>
          </w:r>
          <w:r>
            <w:rPr>
              <w:rFonts w:ascii="仿宋" w:hAnsi="仿宋" w:eastAsia="仿宋"/>
            </w:rPr>
            <w:instrText xml:space="preserve"> TOC \o "1-3" \h \z \u </w:instrText>
          </w:r>
          <w:r>
            <w:rPr>
              <w:rFonts w:ascii="仿宋" w:hAnsi="仿宋" w:eastAsia="仿宋"/>
            </w:rPr>
            <w:fldChar w:fldCharType="separate"/>
          </w:r>
          <w:r>
            <w:rPr>
              <w:rFonts w:ascii="仿宋" w:hAnsi="仿宋" w:eastAsia="仿宋"/>
            </w:rPr>
            <w:fldChar w:fldCharType="begin"/>
          </w:r>
          <w:r>
            <w:rPr>
              <w:rFonts w:ascii="仿宋" w:hAnsi="仿宋" w:eastAsia="仿宋"/>
            </w:rPr>
            <w:instrText xml:space="preserve"> HYPERLINK \l _Toc9617 </w:instrText>
          </w:r>
          <w:r>
            <w:rPr>
              <w:rFonts w:ascii="仿宋" w:hAnsi="仿宋" w:eastAsia="仿宋"/>
            </w:rPr>
            <w:fldChar w:fldCharType="separate"/>
          </w:r>
          <w:r>
            <w:rPr>
              <w:rFonts w:hint="eastAsia" w:ascii="仿宋" w:hAnsi="仿宋" w:eastAsia="仿宋" w:cs="仿宋"/>
              <w:szCs w:val="32"/>
              <w:lang w:val="en-US" w:eastAsia="zh-CN"/>
            </w:rPr>
            <w:t>1 建设内容和要求</w:t>
          </w:r>
          <w:r>
            <w:tab/>
          </w:r>
          <w:r>
            <w:fldChar w:fldCharType="begin"/>
          </w:r>
          <w:r>
            <w:instrText xml:space="preserve"> PAGEREF _Toc9617 </w:instrText>
          </w:r>
          <w:r>
            <w:fldChar w:fldCharType="separate"/>
          </w:r>
          <w:r>
            <w:t>1</w:t>
          </w:r>
          <w:r>
            <w:fldChar w:fldCharType="end"/>
          </w:r>
          <w:r>
            <w:rPr>
              <w:rFonts w:ascii="仿宋" w:hAnsi="仿宋" w:eastAsia="仿宋"/>
            </w:rPr>
            <w:fldChar w:fldCharType="end"/>
          </w:r>
        </w:p>
        <w:p>
          <w:pPr>
            <w:pStyle w:val="18"/>
            <w:tabs>
              <w:tab w:val="right" w:leader="dot" w:pos="8306"/>
            </w:tabs>
          </w:pPr>
          <w:r>
            <w:rPr>
              <w:rFonts w:ascii="仿宋" w:hAnsi="仿宋" w:eastAsia="仿宋"/>
              <w:bCs/>
              <w:lang w:val="zh-CN"/>
            </w:rPr>
            <w:fldChar w:fldCharType="begin"/>
          </w:r>
          <w:r>
            <w:rPr>
              <w:rFonts w:ascii="仿宋" w:hAnsi="仿宋" w:eastAsia="仿宋"/>
              <w:bCs/>
              <w:lang w:val="zh-CN"/>
            </w:rPr>
            <w:instrText xml:space="preserve"> HYPERLINK \l _Toc24481 </w:instrText>
          </w:r>
          <w:r>
            <w:rPr>
              <w:rFonts w:ascii="仿宋" w:hAnsi="仿宋" w:eastAsia="仿宋"/>
              <w:bCs/>
              <w:lang w:val="zh-CN"/>
            </w:rPr>
            <w:fldChar w:fldCharType="separate"/>
          </w:r>
          <w:r>
            <w:rPr>
              <w:rFonts w:hint="eastAsia" w:ascii="仿宋" w:hAnsi="仿宋" w:eastAsia="仿宋" w:cs="仿宋"/>
              <w:szCs w:val="30"/>
              <w:lang w:val="en-US" w:eastAsia="zh-CN"/>
            </w:rPr>
            <w:t>1.1.建设总体要求</w:t>
          </w:r>
          <w:r>
            <w:tab/>
          </w:r>
          <w:r>
            <w:fldChar w:fldCharType="begin"/>
          </w:r>
          <w:r>
            <w:instrText xml:space="preserve"> PAGEREF _Toc24481 </w:instrText>
          </w:r>
          <w:r>
            <w:fldChar w:fldCharType="separate"/>
          </w:r>
          <w:r>
            <w:t>1</w:t>
          </w:r>
          <w:r>
            <w:fldChar w:fldCharType="end"/>
          </w:r>
          <w:r>
            <w:rPr>
              <w:rFonts w:ascii="仿宋" w:hAnsi="仿宋" w:eastAsia="仿宋"/>
              <w:bCs/>
              <w:lang w:val="zh-CN"/>
            </w:rPr>
            <w:fldChar w:fldCharType="end"/>
          </w:r>
        </w:p>
        <w:p>
          <w:pPr>
            <w:pStyle w:val="13"/>
            <w:tabs>
              <w:tab w:val="right" w:leader="dot" w:pos="8306"/>
            </w:tabs>
          </w:pPr>
          <w:r>
            <w:rPr>
              <w:rFonts w:ascii="仿宋" w:hAnsi="仿宋" w:eastAsia="仿宋"/>
              <w:bCs/>
              <w:lang w:val="zh-CN"/>
            </w:rPr>
            <w:fldChar w:fldCharType="begin"/>
          </w:r>
          <w:r>
            <w:rPr>
              <w:rFonts w:ascii="仿宋" w:hAnsi="仿宋" w:eastAsia="仿宋"/>
              <w:bCs/>
              <w:lang w:val="zh-CN"/>
            </w:rPr>
            <w:instrText xml:space="preserve"> HYPERLINK \l _Toc27608 </w:instrText>
          </w:r>
          <w:r>
            <w:rPr>
              <w:rFonts w:ascii="仿宋" w:hAnsi="仿宋" w:eastAsia="仿宋"/>
              <w:bCs/>
              <w:lang w:val="zh-CN"/>
            </w:rPr>
            <w:fldChar w:fldCharType="separate"/>
          </w:r>
          <w:r>
            <w:rPr>
              <w:rFonts w:hint="eastAsia" w:ascii="仿宋" w:hAnsi="仿宋" w:eastAsia="仿宋" w:cs="仿宋"/>
              <w:bCs/>
              <w:kern w:val="2"/>
              <w:szCs w:val="30"/>
              <w:lang w:val="en-US" w:eastAsia="zh-CN" w:bidi="ar-SA"/>
            </w:rPr>
            <w:t>1.2主要建设</w:t>
          </w:r>
          <w:r>
            <w:rPr>
              <w:rFonts w:hint="eastAsia" w:ascii="仿宋" w:hAnsi="仿宋" w:eastAsia="仿宋" w:cs="仿宋"/>
              <w:bCs/>
              <w:szCs w:val="30"/>
              <w:lang w:val="en-US" w:eastAsia="zh-CN"/>
            </w:rPr>
            <w:t>内容</w:t>
          </w:r>
          <w:r>
            <w:tab/>
          </w:r>
          <w:r>
            <w:fldChar w:fldCharType="begin"/>
          </w:r>
          <w:r>
            <w:instrText xml:space="preserve"> PAGEREF _Toc27608 </w:instrText>
          </w:r>
          <w:r>
            <w:fldChar w:fldCharType="separate"/>
          </w:r>
          <w:r>
            <w:t>1</w:t>
          </w:r>
          <w:r>
            <w:fldChar w:fldCharType="end"/>
          </w:r>
          <w:r>
            <w:rPr>
              <w:rFonts w:ascii="仿宋" w:hAnsi="仿宋" w:eastAsia="仿宋"/>
              <w:bCs/>
              <w:lang w:val="zh-CN"/>
            </w:rPr>
            <w:fldChar w:fldCharType="end"/>
          </w:r>
        </w:p>
        <w:p>
          <w:pPr>
            <w:pStyle w:val="13"/>
            <w:tabs>
              <w:tab w:val="right" w:leader="dot" w:pos="8306"/>
            </w:tabs>
          </w:pPr>
          <w:r>
            <w:rPr>
              <w:rFonts w:ascii="仿宋" w:hAnsi="仿宋" w:eastAsia="仿宋"/>
              <w:bCs/>
              <w:lang w:val="zh-CN"/>
            </w:rPr>
            <w:fldChar w:fldCharType="begin"/>
          </w:r>
          <w:r>
            <w:rPr>
              <w:rFonts w:ascii="仿宋" w:hAnsi="仿宋" w:eastAsia="仿宋"/>
              <w:bCs/>
              <w:lang w:val="zh-CN"/>
            </w:rPr>
            <w:instrText xml:space="preserve"> HYPERLINK \l _Toc20332 </w:instrText>
          </w:r>
          <w:r>
            <w:rPr>
              <w:rFonts w:ascii="仿宋" w:hAnsi="仿宋" w:eastAsia="仿宋"/>
              <w:bCs/>
              <w:lang w:val="zh-CN"/>
            </w:rPr>
            <w:fldChar w:fldCharType="separate"/>
          </w:r>
          <w:r>
            <w:rPr>
              <w:rFonts w:hint="eastAsia" w:ascii="仿宋" w:hAnsi="仿宋" w:eastAsia="仿宋" w:cs="仿宋"/>
              <w:bCs/>
              <w:szCs w:val="30"/>
              <w:lang w:val="en-US" w:eastAsia="zh-CN"/>
            </w:rPr>
            <w:t>1.2.1系统要求</w:t>
          </w:r>
          <w:r>
            <w:tab/>
          </w:r>
          <w:r>
            <w:fldChar w:fldCharType="begin"/>
          </w:r>
          <w:r>
            <w:instrText xml:space="preserve"> PAGEREF _Toc20332 </w:instrText>
          </w:r>
          <w:r>
            <w:fldChar w:fldCharType="separate"/>
          </w:r>
          <w:r>
            <w:t>1</w:t>
          </w:r>
          <w:r>
            <w:fldChar w:fldCharType="end"/>
          </w:r>
          <w:r>
            <w:rPr>
              <w:rFonts w:ascii="仿宋" w:hAnsi="仿宋" w:eastAsia="仿宋"/>
              <w:bCs/>
              <w:lang w:val="zh-CN"/>
            </w:rPr>
            <w:fldChar w:fldCharType="end"/>
          </w:r>
        </w:p>
        <w:p>
          <w:pPr>
            <w:pStyle w:val="13"/>
            <w:tabs>
              <w:tab w:val="right" w:leader="dot" w:pos="8306"/>
            </w:tabs>
          </w:pPr>
          <w:r>
            <w:rPr>
              <w:rFonts w:ascii="仿宋" w:hAnsi="仿宋" w:eastAsia="仿宋"/>
              <w:bCs/>
              <w:lang w:val="zh-CN"/>
            </w:rPr>
            <w:fldChar w:fldCharType="begin"/>
          </w:r>
          <w:r>
            <w:rPr>
              <w:rFonts w:ascii="仿宋" w:hAnsi="仿宋" w:eastAsia="仿宋"/>
              <w:bCs/>
              <w:lang w:val="zh-CN"/>
            </w:rPr>
            <w:instrText xml:space="preserve"> HYPERLINK \l _Toc9649 </w:instrText>
          </w:r>
          <w:r>
            <w:rPr>
              <w:rFonts w:ascii="仿宋" w:hAnsi="仿宋" w:eastAsia="仿宋"/>
              <w:bCs/>
              <w:lang w:val="zh-CN"/>
            </w:rPr>
            <w:fldChar w:fldCharType="separate"/>
          </w:r>
          <w:r>
            <w:rPr>
              <w:rFonts w:hint="eastAsia" w:ascii="仿宋" w:hAnsi="仿宋" w:eastAsia="仿宋" w:cs="仿宋"/>
              <w:bCs/>
              <w:szCs w:val="30"/>
              <w:lang w:val="en-US" w:eastAsia="zh-CN"/>
            </w:rPr>
            <w:t>1.2.2质量要求</w:t>
          </w:r>
          <w:r>
            <w:tab/>
          </w:r>
          <w:r>
            <w:fldChar w:fldCharType="begin"/>
          </w:r>
          <w:r>
            <w:instrText xml:space="preserve"> PAGEREF _Toc9649 </w:instrText>
          </w:r>
          <w:r>
            <w:fldChar w:fldCharType="separate"/>
          </w:r>
          <w:r>
            <w:t>2</w:t>
          </w:r>
          <w:r>
            <w:fldChar w:fldCharType="end"/>
          </w:r>
          <w:r>
            <w:rPr>
              <w:rFonts w:ascii="仿宋" w:hAnsi="仿宋" w:eastAsia="仿宋"/>
              <w:bCs/>
              <w:lang w:val="zh-CN"/>
            </w:rPr>
            <w:fldChar w:fldCharType="end"/>
          </w:r>
        </w:p>
        <w:p>
          <w:pPr>
            <w:pStyle w:val="13"/>
            <w:tabs>
              <w:tab w:val="right" w:leader="dot" w:pos="8306"/>
            </w:tabs>
          </w:pPr>
          <w:r>
            <w:rPr>
              <w:rFonts w:ascii="仿宋" w:hAnsi="仿宋" w:eastAsia="仿宋"/>
              <w:bCs/>
              <w:lang w:val="zh-CN"/>
            </w:rPr>
            <w:fldChar w:fldCharType="begin"/>
          </w:r>
          <w:r>
            <w:rPr>
              <w:rFonts w:ascii="仿宋" w:hAnsi="仿宋" w:eastAsia="仿宋"/>
              <w:bCs/>
              <w:lang w:val="zh-CN"/>
            </w:rPr>
            <w:instrText xml:space="preserve"> HYPERLINK \l _Toc4820 </w:instrText>
          </w:r>
          <w:r>
            <w:rPr>
              <w:rFonts w:ascii="仿宋" w:hAnsi="仿宋" w:eastAsia="仿宋"/>
              <w:bCs/>
              <w:lang w:val="zh-CN"/>
            </w:rPr>
            <w:fldChar w:fldCharType="separate"/>
          </w:r>
          <w:r>
            <w:rPr>
              <w:rFonts w:hint="eastAsia" w:ascii="仿宋" w:hAnsi="仿宋" w:eastAsia="仿宋" w:cs="仿宋"/>
              <w:bCs/>
              <w:kern w:val="2"/>
              <w:szCs w:val="30"/>
              <w:lang w:val="en-US" w:eastAsia="zh-CN" w:bidi="ar-SA"/>
            </w:rPr>
            <w:t>1.3功能列表</w:t>
          </w:r>
          <w:r>
            <w:tab/>
          </w:r>
          <w:r>
            <w:fldChar w:fldCharType="begin"/>
          </w:r>
          <w:r>
            <w:instrText xml:space="preserve"> PAGEREF _Toc4820 </w:instrText>
          </w:r>
          <w:r>
            <w:fldChar w:fldCharType="separate"/>
          </w:r>
          <w:r>
            <w:t>2</w:t>
          </w:r>
          <w:r>
            <w:fldChar w:fldCharType="end"/>
          </w:r>
          <w:r>
            <w:rPr>
              <w:rFonts w:ascii="仿宋" w:hAnsi="仿宋" w:eastAsia="仿宋"/>
              <w:bCs/>
              <w:lang w:val="zh-CN"/>
            </w:rPr>
            <w:fldChar w:fldCharType="end"/>
          </w:r>
        </w:p>
        <w:p>
          <w:pPr>
            <w:pStyle w:val="17"/>
            <w:tabs>
              <w:tab w:val="right" w:leader="dot" w:pos="8306"/>
            </w:tabs>
          </w:pPr>
          <w:r>
            <w:rPr>
              <w:rFonts w:ascii="仿宋" w:hAnsi="仿宋" w:eastAsia="仿宋"/>
              <w:bCs/>
              <w:lang w:val="zh-CN"/>
            </w:rPr>
            <w:fldChar w:fldCharType="begin"/>
          </w:r>
          <w:r>
            <w:rPr>
              <w:rFonts w:ascii="仿宋" w:hAnsi="仿宋" w:eastAsia="仿宋"/>
              <w:bCs/>
              <w:lang w:val="zh-CN"/>
            </w:rPr>
            <w:instrText xml:space="preserve"> HYPERLINK \l _Toc25290 </w:instrText>
          </w:r>
          <w:r>
            <w:rPr>
              <w:rFonts w:ascii="仿宋" w:hAnsi="仿宋" w:eastAsia="仿宋"/>
              <w:bCs/>
              <w:lang w:val="zh-CN"/>
            </w:rPr>
            <w:fldChar w:fldCharType="separate"/>
          </w:r>
          <w:r>
            <w:rPr>
              <w:rFonts w:hint="eastAsia" w:ascii="仿宋" w:hAnsi="仿宋" w:eastAsia="仿宋" w:cs="仿宋"/>
              <w:szCs w:val="32"/>
              <w:lang w:val="en-US" w:eastAsia="zh-CN"/>
            </w:rPr>
            <w:t>2项目预算报价</w:t>
          </w:r>
          <w:r>
            <w:tab/>
          </w:r>
          <w:r>
            <w:fldChar w:fldCharType="begin"/>
          </w:r>
          <w:r>
            <w:instrText xml:space="preserve"> PAGEREF _Toc25290 </w:instrText>
          </w:r>
          <w:r>
            <w:fldChar w:fldCharType="separate"/>
          </w:r>
          <w:r>
            <w:t>11</w:t>
          </w:r>
          <w:r>
            <w:fldChar w:fldCharType="end"/>
          </w:r>
          <w:r>
            <w:rPr>
              <w:rFonts w:ascii="仿宋" w:hAnsi="仿宋" w:eastAsia="仿宋"/>
              <w:bCs/>
              <w:lang w:val="zh-CN"/>
            </w:rPr>
            <w:fldChar w:fldCharType="end"/>
          </w:r>
        </w:p>
        <w:p>
          <w:pPr>
            <w:spacing w:line="360" w:lineRule="auto"/>
            <w:rPr>
              <w:rFonts w:ascii="仿宋" w:hAnsi="仿宋" w:eastAsia="仿宋"/>
            </w:rPr>
          </w:pPr>
          <w:r>
            <w:rPr>
              <w:rFonts w:ascii="仿宋" w:hAnsi="仿宋" w:eastAsia="仿宋"/>
              <w:bCs/>
              <w:lang w:val="zh-CN"/>
            </w:rPr>
            <w:fldChar w:fldCharType="end"/>
          </w:r>
        </w:p>
      </w:sdtContent>
    </w:sdt>
    <w:p>
      <w:pPr>
        <w:spacing w:line="360" w:lineRule="auto"/>
        <w:jc w:val="left"/>
        <w:rPr>
          <w:rFonts w:ascii="仿宋" w:hAnsi="仿宋" w:eastAsia="仿宋"/>
          <w:sz w:val="24"/>
          <w:szCs w:val="24"/>
        </w:rPr>
      </w:pPr>
    </w:p>
    <w:p>
      <w:pPr>
        <w:pStyle w:val="2"/>
        <w:rPr>
          <w:rFonts w:ascii="仿宋" w:hAnsi="仿宋" w:eastAsia="仿宋"/>
          <w:b/>
          <w:bCs/>
          <w:sz w:val="32"/>
          <w:szCs w:val="32"/>
        </w:rPr>
        <w:sectPr>
          <w:footerReference r:id="rId3" w:type="default"/>
          <w:pgSz w:w="11906" w:h="16838"/>
          <w:pgMar w:top="1440" w:right="1800" w:bottom="1440" w:left="1800" w:header="851" w:footer="992" w:gutter="0"/>
          <w:pgNumType w:start="1"/>
          <w:cols w:space="425" w:num="1"/>
          <w:docGrid w:type="lines" w:linePitch="312" w:charSpace="0"/>
        </w:sectPr>
      </w:pPr>
    </w:p>
    <w:p>
      <w:pPr>
        <w:pStyle w:val="2"/>
        <w:numPr>
          <w:ilvl w:val="0"/>
          <w:numId w:val="0"/>
        </w:numPr>
        <w:spacing w:after="156"/>
        <w:ind w:leftChars="0"/>
        <w:rPr>
          <w:rFonts w:hint="eastAsia" w:ascii="仿宋" w:hAnsi="仿宋" w:eastAsia="仿宋" w:cs="仿宋"/>
          <w:sz w:val="32"/>
          <w:szCs w:val="32"/>
          <w:lang w:val="en-US" w:eastAsia="zh-CN"/>
        </w:rPr>
      </w:pPr>
      <w:bookmarkStart w:id="0" w:name="_Toc9617"/>
      <w:r>
        <w:rPr>
          <w:rFonts w:hint="eastAsia" w:ascii="仿宋" w:hAnsi="仿宋" w:eastAsia="仿宋" w:cs="仿宋"/>
          <w:sz w:val="32"/>
          <w:szCs w:val="32"/>
          <w:lang w:val="en-US" w:eastAsia="zh-CN"/>
        </w:rPr>
        <w:t>1 建设内容和要求</w:t>
      </w:r>
      <w:bookmarkEnd w:id="0"/>
    </w:p>
    <w:p>
      <w:pPr>
        <w:pStyle w:val="3"/>
        <w:numPr>
          <w:ilvl w:val="1"/>
          <w:numId w:val="0"/>
        </w:numPr>
        <w:spacing w:after="156"/>
        <w:ind w:left="201" w:leftChars="0" w:right="210" w:rightChars="0"/>
        <w:rPr>
          <w:rFonts w:hint="eastAsia" w:ascii="仿宋" w:hAnsi="仿宋" w:eastAsia="仿宋" w:cs="仿宋"/>
          <w:sz w:val="30"/>
          <w:szCs w:val="30"/>
          <w:lang w:val="en-US" w:eastAsia="zh-CN"/>
        </w:rPr>
      </w:pPr>
      <w:bookmarkStart w:id="1" w:name="_Toc24481"/>
      <w:r>
        <w:rPr>
          <w:rFonts w:hint="eastAsia" w:ascii="仿宋" w:hAnsi="仿宋" w:eastAsia="仿宋" w:cs="仿宋"/>
          <w:sz w:val="30"/>
          <w:szCs w:val="30"/>
          <w:lang w:val="en-US" w:eastAsia="zh-CN"/>
        </w:rPr>
        <w:t>1.1.建设总体要求</w:t>
      </w:r>
      <w:bookmarkEnd w:id="1"/>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按照国家智慧服务三级标准</w:t>
      </w:r>
      <w:r>
        <w:rPr>
          <w:rFonts w:hint="eastAsia" w:ascii="仿宋" w:hAnsi="仿宋" w:eastAsia="仿宋" w:cs="Arial"/>
          <w:kern w:val="2"/>
          <w:sz w:val="28"/>
          <w:szCs w:val="28"/>
          <w:lang w:val="en-US" w:eastAsia="zh-CN" w:bidi="ar-SA"/>
        </w:rPr>
        <w:t>的要求，</w:t>
      </w:r>
      <w:r>
        <w:rPr>
          <w:rFonts w:hint="eastAsia" w:ascii="仿宋" w:hAnsi="仿宋" w:eastAsia="仿宋" w:cs="Arial"/>
          <w:kern w:val="2"/>
          <w:sz w:val="28"/>
          <w:szCs w:val="28"/>
          <w:lang w:val="en-US" w:eastAsia="zh-Hans" w:bidi="ar-SA"/>
        </w:rPr>
        <w:t>提供线上线下一体化、诊前诊中诊后全覆盖的智慧患者服务体系。</w:t>
      </w:r>
    </w:p>
    <w:p>
      <w:pPr>
        <w:pStyle w:val="4"/>
        <w:numPr>
          <w:ilvl w:val="2"/>
          <w:numId w:val="0"/>
        </w:numPr>
        <w:bidi w:val="0"/>
        <w:ind w:leftChars="0"/>
        <w:rPr>
          <w:rFonts w:hint="eastAsia" w:ascii="仿宋" w:hAnsi="仿宋" w:eastAsia="仿宋" w:cs="仿宋"/>
          <w:b/>
          <w:bCs/>
          <w:kern w:val="2"/>
          <w:sz w:val="30"/>
          <w:szCs w:val="30"/>
          <w:lang w:val="en-US" w:eastAsia="zh-CN" w:bidi="ar-SA"/>
        </w:rPr>
      </w:pPr>
      <w:bookmarkStart w:id="2" w:name="_Toc27608"/>
      <w:r>
        <w:rPr>
          <w:rFonts w:hint="eastAsia" w:ascii="仿宋" w:hAnsi="仿宋" w:eastAsia="仿宋" w:cs="仿宋"/>
          <w:b/>
          <w:bCs/>
          <w:kern w:val="2"/>
          <w:sz w:val="30"/>
          <w:szCs w:val="30"/>
          <w:lang w:val="en-US" w:eastAsia="zh-CN" w:bidi="ar-SA"/>
        </w:rPr>
        <w:t>1.2主要建设</w:t>
      </w:r>
      <w:r>
        <w:rPr>
          <w:rFonts w:hint="eastAsia" w:ascii="仿宋" w:hAnsi="仿宋" w:eastAsia="仿宋" w:cs="仿宋"/>
          <w:b/>
          <w:bCs/>
          <w:sz w:val="30"/>
          <w:szCs w:val="30"/>
          <w:lang w:val="en-US" w:eastAsia="zh-CN"/>
        </w:rPr>
        <w:t>内容</w:t>
      </w:r>
      <w:bookmarkEnd w:id="2"/>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患者门诊服务、住院服务、全流程消息提醒、随访及满意度调查、三师共管患者管理平台、线上协作平台（跨院协作）、院内管理系统、移动医护工作站等。</w:t>
      </w:r>
    </w:p>
    <w:p>
      <w:pPr>
        <w:pStyle w:val="4"/>
        <w:numPr>
          <w:ilvl w:val="2"/>
          <w:numId w:val="0"/>
        </w:numPr>
        <w:bidi w:val="0"/>
        <w:ind w:leftChars="0"/>
        <w:rPr>
          <w:rFonts w:hint="eastAsia" w:ascii="仿宋" w:hAnsi="仿宋" w:eastAsia="仿宋" w:cs="仿宋"/>
          <w:b/>
          <w:bCs/>
          <w:sz w:val="30"/>
          <w:szCs w:val="30"/>
          <w:lang w:val="en-US" w:eastAsia="zh-CN"/>
        </w:rPr>
      </w:pPr>
      <w:bookmarkStart w:id="3" w:name="_Toc20332"/>
      <w:r>
        <w:rPr>
          <w:rFonts w:hint="eastAsia" w:ascii="仿宋" w:hAnsi="仿宋" w:eastAsia="仿宋" w:cs="仿宋"/>
          <w:b/>
          <w:bCs/>
          <w:sz w:val="30"/>
          <w:szCs w:val="30"/>
          <w:lang w:val="en-US" w:eastAsia="zh-CN"/>
        </w:rPr>
        <w:t>1.2.1系统要求</w:t>
      </w:r>
      <w:bookmarkEnd w:id="3"/>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（1）闭环线上诊前、诊中、诊后流程，给患者提供一站式的就医服务体验，引导患者快速高效的完成就诊的全部环节及流程。</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（2）完成系统的本地化部署。系统能实现与医院其他信息系统的数据交互。</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（3）能够做到数据保存、数据保密、数据备份与恢复的服务，充分保证数据安全性、完整性。</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（4）基于微服务的设计，可根据不同流程和节点的不同需求进行模块化应用，确保相关服务的维护和更新都不影响其它模块，软件具有一定的容错能力。</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（5）管理端系统需要提供基于用户名、密码的用户身份认证和分别基于角色、功能、组织架构的多维度用户权限管理功能。</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Hans" w:bidi="ar-SA"/>
        </w:rPr>
        <w:t>（6）系统用户界面友好，风格一致，操作简便，并提供针对界面的操作帮助系统，系统中所集成的不同模块应保持一致的操作界面、操作特性。</w:t>
      </w:r>
    </w:p>
    <w:p>
      <w:pPr>
        <w:pStyle w:val="4"/>
        <w:numPr>
          <w:ilvl w:val="2"/>
          <w:numId w:val="0"/>
        </w:numPr>
        <w:bidi w:val="0"/>
        <w:ind w:leftChars="0"/>
        <w:rPr>
          <w:rFonts w:hint="eastAsia" w:ascii="仿宋" w:hAnsi="仿宋" w:eastAsia="仿宋" w:cs="仿宋"/>
          <w:b/>
          <w:bCs/>
          <w:sz w:val="30"/>
          <w:szCs w:val="30"/>
          <w:lang w:val="en-US" w:eastAsia="zh-CN"/>
        </w:rPr>
      </w:pPr>
      <w:bookmarkStart w:id="4" w:name="_Toc9649"/>
      <w:r>
        <w:rPr>
          <w:rFonts w:hint="eastAsia" w:ascii="仿宋" w:hAnsi="仿宋" w:eastAsia="仿宋" w:cs="仿宋"/>
          <w:b/>
          <w:bCs/>
          <w:sz w:val="30"/>
          <w:szCs w:val="30"/>
          <w:lang w:val="en-US" w:eastAsia="zh-CN"/>
        </w:rPr>
        <w:t>1.2.2质量要求</w:t>
      </w:r>
      <w:bookmarkEnd w:id="4"/>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CN" w:bidi="ar-SA"/>
        </w:rPr>
        <w:t>（1）</w:t>
      </w:r>
      <w:r>
        <w:rPr>
          <w:rFonts w:hint="eastAsia" w:ascii="仿宋" w:hAnsi="仿宋" w:eastAsia="仿宋" w:cs="Arial"/>
          <w:kern w:val="2"/>
          <w:sz w:val="28"/>
          <w:szCs w:val="28"/>
          <w:lang w:val="en-US" w:eastAsia="zh-Hans" w:bidi="ar-SA"/>
        </w:rPr>
        <w:t>可靠性：系统保证7*24小时对外提供服务，保障不同用户使用的稳定性。</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CN" w:bidi="ar-SA"/>
        </w:rPr>
        <w:t>（2）</w:t>
      </w:r>
      <w:r>
        <w:rPr>
          <w:rFonts w:hint="eastAsia" w:ascii="仿宋" w:hAnsi="仿宋" w:eastAsia="仿宋" w:cs="Arial"/>
          <w:kern w:val="2"/>
          <w:sz w:val="28"/>
          <w:szCs w:val="28"/>
          <w:lang w:val="en-US" w:eastAsia="zh-Hans" w:bidi="ar-SA"/>
        </w:rPr>
        <w:t>易用性：无需安装、界面友好、方便易学。</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CN" w:bidi="ar-SA"/>
        </w:rPr>
        <w:t>（3）</w:t>
      </w:r>
      <w:r>
        <w:rPr>
          <w:rFonts w:hint="eastAsia" w:ascii="仿宋" w:hAnsi="仿宋" w:eastAsia="仿宋" w:cs="Arial"/>
          <w:kern w:val="2"/>
          <w:sz w:val="28"/>
          <w:szCs w:val="28"/>
          <w:lang w:val="en-US" w:eastAsia="zh-Hans" w:bidi="ar-SA"/>
        </w:rPr>
        <w:t>可扩展性：系统架构设计上采用面向对象的分析技术，增强系统的适应性。系统适合增量建设模式。</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CN" w:bidi="ar-SA"/>
        </w:rPr>
        <w:t>（4）</w:t>
      </w:r>
      <w:r>
        <w:rPr>
          <w:rFonts w:hint="eastAsia" w:ascii="仿宋" w:hAnsi="仿宋" w:eastAsia="仿宋" w:cs="Arial"/>
          <w:kern w:val="2"/>
          <w:sz w:val="28"/>
          <w:szCs w:val="28"/>
          <w:lang w:val="en-US" w:eastAsia="zh-Hans" w:bidi="ar-SA"/>
        </w:rPr>
        <w:t>兼容性：支持标准数据接口，兼容系统外的系统。</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CN" w:bidi="ar-SA"/>
        </w:rPr>
        <w:t>（5）</w:t>
      </w:r>
      <w:r>
        <w:rPr>
          <w:rFonts w:hint="eastAsia" w:ascii="仿宋" w:hAnsi="仿宋" w:eastAsia="仿宋" w:cs="Arial"/>
          <w:kern w:val="2"/>
          <w:sz w:val="28"/>
          <w:szCs w:val="28"/>
          <w:lang w:val="en-US" w:eastAsia="zh-Hans" w:bidi="ar-SA"/>
        </w:rPr>
        <w:t>可维护性：系统日志输出完整清晰，按照问题严重程度进行划分,能够便于定位问题。 出现系统问题时，提示应准确，便于排查。</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CN" w:bidi="ar-SA"/>
        </w:rPr>
        <w:t>（6）</w:t>
      </w:r>
      <w:r>
        <w:rPr>
          <w:rFonts w:hint="eastAsia" w:ascii="仿宋" w:hAnsi="仿宋" w:eastAsia="仿宋" w:cs="Arial"/>
          <w:kern w:val="2"/>
          <w:sz w:val="28"/>
          <w:szCs w:val="28"/>
          <w:lang w:val="en-US" w:eastAsia="zh-Hans" w:bidi="ar-SA"/>
        </w:rPr>
        <w:t>逻辑性：数据录入逻辑监控，从数据录入进行页面录入规则的逻辑判断，不符合逻辑规则的数据无法录入。</w:t>
      </w:r>
    </w:p>
    <w:p>
      <w:pPr>
        <w:pStyle w:val="35"/>
        <w:keepNext w:val="0"/>
        <w:keepLines w:val="0"/>
        <w:pageBreakBefore w:val="0"/>
        <w:widowControl w:val="0"/>
        <w:numPr>
          <w:ilvl w:val="0"/>
          <w:numId w:val="0"/>
        </w:numPr>
        <w:kinsoku/>
        <w:wordWrap/>
        <w:overflowPunct/>
        <w:topLinePunct w:val="0"/>
        <w:autoSpaceDE/>
        <w:autoSpaceDN/>
        <w:bidi w:val="0"/>
        <w:adjustRightInd/>
        <w:snapToGrid/>
        <w:spacing w:line="240" w:lineRule="auto"/>
        <w:ind w:left="-289" w:leftChars="0" w:firstLine="560" w:firstLineChars="200"/>
        <w:textAlignment w:val="auto"/>
        <w:rPr>
          <w:rFonts w:hint="eastAsia" w:ascii="仿宋" w:hAnsi="仿宋" w:eastAsia="仿宋" w:cs="Arial"/>
          <w:kern w:val="2"/>
          <w:sz w:val="28"/>
          <w:szCs w:val="28"/>
          <w:lang w:val="en-US" w:eastAsia="zh-Hans" w:bidi="ar-SA"/>
        </w:rPr>
      </w:pPr>
      <w:r>
        <w:rPr>
          <w:rFonts w:hint="eastAsia" w:ascii="仿宋" w:hAnsi="仿宋" w:eastAsia="仿宋" w:cs="Arial"/>
          <w:kern w:val="2"/>
          <w:sz w:val="28"/>
          <w:szCs w:val="28"/>
          <w:lang w:val="en-US" w:eastAsia="zh-CN" w:bidi="ar-SA"/>
        </w:rPr>
        <w:t>（7）</w:t>
      </w:r>
      <w:r>
        <w:rPr>
          <w:rFonts w:hint="eastAsia" w:ascii="仿宋" w:hAnsi="仿宋" w:eastAsia="仿宋" w:cs="Arial"/>
          <w:kern w:val="2"/>
          <w:sz w:val="28"/>
          <w:szCs w:val="28"/>
          <w:lang w:val="en-US" w:eastAsia="zh-Hans" w:bidi="ar-SA"/>
        </w:rPr>
        <w:t>可溯源性：系统必须具备可以为研究数据提供可溯源性的性能。</w:t>
      </w:r>
    </w:p>
    <w:p>
      <w:pPr>
        <w:pStyle w:val="4"/>
        <w:numPr>
          <w:ilvl w:val="2"/>
          <w:numId w:val="0"/>
        </w:numPr>
        <w:bidi w:val="0"/>
        <w:ind w:leftChars="0"/>
        <w:rPr>
          <w:rFonts w:hint="eastAsia" w:ascii="仿宋" w:hAnsi="仿宋" w:eastAsia="仿宋" w:cs="仿宋"/>
          <w:b/>
          <w:bCs/>
          <w:kern w:val="2"/>
          <w:sz w:val="30"/>
          <w:szCs w:val="30"/>
          <w:lang w:val="en-US" w:eastAsia="zh-CN" w:bidi="ar-SA"/>
        </w:rPr>
      </w:pPr>
      <w:bookmarkStart w:id="5" w:name="_Toc4820"/>
      <w:r>
        <w:rPr>
          <w:rFonts w:hint="eastAsia" w:ascii="仿宋" w:hAnsi="仿宋" w:eastAsia="仿宋" w:cs="仿宋"/>
          <w:b/>
          <w:bCs/>
          <w:kern w:val="2"/>
          <w:sz w:val="30"/>
          <w:szCs w:val="30"/>
          <w:lang w:val="en-US" w:eastAsia="zh-CN" w:bidi="ar-SA"/>
        </w:rPr>
        <w:t>1.3功能列表</w:t>
      </w:r>
      <w:bookmarkEnd w:id="5"/>
    </w:p>
    <w:p>
      <w:pPr>
        <w:rPr>
          <w:rFonts w:hint="eastAsia" w:ascii="仿宋" w:hAnsi="仿宋" w:eastAsia="仿宋" w:cs="仿宋"/>
          <w:sz w:val="24"/>
          <w:szCs w:val="24"/>
        </w:rPr>
      </w:pPr>
      <w:r>
        <w:rPr>
          <w:rFonts w:hint="eastAsia" w:ascii="仿宋" w:hAnsi="仿宋" w:eastAsia="仿宋" w:cs="仿宋"/>
          <w:b/>
          <w:bCs/>
          <w:sz w:val="24"/>
          <w:szCs w:val="24"/>
        </w:rPr>
        <w:t>医技预约平台</w:t>
      </w:r>
      <w:r>
        <w:rPr>
          <w:rFonts w:hint="eastAsia" w:ascii="仿宋" w:hAnsi="仿宋" w:eastAsia="仿宋" w:cs="仿宋"/>
          <w:sz w:val="24"/>
          <w:szCs w:val="24"/>
        </w:rPr>
        <w:t>：</w:t>
      </w:r>
    </w:p>
    <w:tbl>
      <w:tblPr>
        <w:tblStyle w:val="21"/>
        <w:tblW w:w="0" w:type="auto"/>
        <w:tblInd w:w="0" w:type="dxa"/>
        <w:tblLayout w:type="fixed"/>
        <w:tblCellMar>
          <w:top w:w="0" w:type="dxa"/>
          <w:left w:w="108" w:type="dxa"/>
          <w:bottom w:w="0" w:type="dxa"/>
          <w:right w:w="108" w:type="dxa"/>
        </w:tblCellMar>
      </w:tblPr>
      <w:tblGrid>
        <w:gridCol w:w="2025"/>
        <w:gridCol w:w="1617"/>
        <w:gridCol w:w="2306"/>
        <w:gridCol w:w="2574"/>
      </w:tblGrid>
      <w:tr>
        <w:tblPrEx>
          <w:tblCellMar>
            <w:top w:w="0" w:type="dxa"/>
            <w:left w:w="108" w:type="dxa"/>
            <w:bottom w:w="0" w:type="dxa"/>
            <w:right w:w="108" w:type="dxa"/>
          </w:tblCellMar>
        </w:tblPrEx>
        <w:trPr>
          <w:trHeight w:val="375" w:hRule="atLeast"/>
        </w:trPr>
        <w:tc>
          <w:tcPr>
            <w:tcW w:w="2025" w:type="dxa"/>
            <w:tcBorders>
              <w:top w:val="single" w:color="auto" w:sz="4" w:space="0"/>
              <w:left w:val="single" w:color="auto" w:sz="4" w:space="0"/>
              <w:bottom w:val="single" w:color="auto" w:sz="4" w:space="0"/>
              <w:right w:val="single" w:color="auto" w:sz="4" w:space="0"/>
            </w:tcBorders>
            <w:shd w:val="clear" w:color="auto" w:fill="9CC2E5" w:themeFill="accent1" w:themeFillTint="99"/>
            <w:vAlign w:val="center"/>
          </w:tcPr>
          <w:p>
            <w:pPr>
              <w:widowControl/>
              <w:jc w:val="center"/>
              <w:rPr>
                <w:rFonts w:hint="eastAsia" w:ascii="仿宋" w:hAnsi="仿宋" w:eastAsia="仿宋" w:cs="仿宋"/>
                <w:b/>
                <w:bCs/>
                <w:color w:val="000000"/>
                <w:kern w:val="0"/>
                <w:sz w:val="22"/>
              </w:rPr>
            </w:pPr>
            <w:bookmarkStart w:id="6" w:name="_Hlk54250062"/>
            <w:r>
              <w:rPr>
                <w:rFonts w:hint="eastAsia" w:ascii="仿宋" w:hAnsi="仿宋" w:eastAsia="仿宋" w:cs="仿宋"/>
                <w:b/>
                <w:bCs/>
                <w:color w:val="000000"/>
                <w:kern w:val="0"/>
                <w:sz w:val="22"/>
              </w:rPr>
              <w:t>系统</w:t>
            </w:r>
          </w:p>
        </w:tc>
        <w:tc>
          <w:tcPr>
            <w:tcW w:w="1617" w:type="dxa"/>
            <w:tcBorders>
              <w:top w:val="single" w:color="auto" w:sz="4" w:space="0"/>
              <w:left w:val="nil"/>
              <w:bottom w:val="single" w:color="auto" w:sz="4" w:space="0"/>
              <w:right w:val="single" w:color="auto" w:sz="4" w:space="0"/>
            </w:tcBorders>
            <w:shd w:val="clear" w:color="auto" w:fill="9CC2E5" w:themeFill="accent1" w:themeFillTint="99"/>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分类</w:t>
            </w:r>
          </w:p>
        </w:tc>
        <w:tc>
          <w:tcPr>
            <w:tcW w:w="2306" w:type="dxa"/>
            <w:tcBorders>
              <w:top w:val="single" w:color="auto" w:sz="4" w:space="0"/>
              <w:left w:val="nil"/>
              <w:bottom w:val="single" w:color="auto" w:sz="4" w:space="0"/>
              <w:right w:val="single" w:color="auto" w:sz="4" w:space="0"/>
            </w:tcBorders>
            <w:shd w:val="clear" w:color="auto" w:fill="9CC2E5" w:themeFill="accent1" w:themeFillTint="99"/>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模块</w:t>
            </w:r>
          </w:p>
        </w:tc>
        <w:tc>
          <w:tcPr>
            <w:tcW w:w="2574" w:type="dxa"/>
            <w:tcBorders>
              <w:top w:val="single" w:color="auto" w:sz="4" w:space="0"/>
              <w:left w:val="nil"/>
              <w:bottom w:val="single" w:color="auto" w:sz="4" w:space="0"/>
              <w:right w:val="single" w:color="auto" w:sz="4" w:space="0"/>
            </w:tcBorders>
            <w:shd w:val="clear" w:color="auto" w:fill="9CC2E5" w:themeFill="accent1" w:themeFillTint="99"/>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功能</w:t>
            </w:r>
          </w:p>
        </w:tc>
      </w:tr>
      <w:tr>
        <w:tblPrEx>
          <w:tblCellMar>
            <w:top w:w="0" w:type="dxa"/>
            <w:left w:w="108" w:type="dxa"/>
            <w:bottom w:w="0" w:type="dxa"/>
            <w:right w:w="108" w:type="dxa"/>
          </w:tblCellMar>
        </w:tblPrEx>
        <w:trPr>
          <w:trHeight w:val="465" w:hRule="atLeast"/>
        </w:trPr>
        <w:tc>
          <w:tcPr>
            <w:tcW w:w="2025"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p>
            <w:pPr>
              <w:widowControl/>
              <w:jc w:val="left"/>
              <w:rPr>
                <w:rFonts w:hint="eastAsia" w:ascii="仿宋" w:hAnsi="仿宋" w:eastAsia="仿宋" w:cs="仿宋"/>
                <w:kern w:val="0"/>
              </w:rPr>
            </w:pPr>
            <w:r>
              <w:rPr>
                <w:rFonts w:hint="eastAsia" w:ascii="仿宋" w:hAnsi="仿宋" w:eastAsia="仿宋" w:cs="仿宋"/>
                <w:kern w:val="0"/>
              </w:rPr>
              <w:t>医技预约系统</w:t>
            </w:r>
          </w:p>
        </w:tc>
        <w:tc>
          <w:tcPr>
            <w:tcW w:w="161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预约管理中心</w:t>
            </w:r>
          </w:p>
        </w:tc>
        <w:tc>
          <w:tcPr>
            <w:tcW w:w="23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检查预约</w:t>
            </w: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门诊预约</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住院预约</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特殊预约</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检查资源维护</w:t>
            </w: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计划排班维护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临时排班维护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号源信息维护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计划停诊维护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检查项目维护</w:t>
            </w: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项目明细维护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项目维护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项目组维护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冲突包维护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项目冲突维护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项目明细类别维护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基础数据维护</w:t>
            </w: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检查科室维护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检查诊室维护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物理诊室维护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检查部位维护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时令维护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规则维护</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p>
        </w:tc>
        <w:tc>
          <w:tcPr>
            <w:tcW w:w="23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统计分析</w:t>
            </w: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sz w:val="22"/>
              </w:rPr>
              <w:t>预约情况查询</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sz w:val="22"/>
              </w:rPr>
              <w:t>预约日志查询</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sz w:val="22"/>
              </w:rPr>
              <w:t>诊间资源使用情况查询</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sz w:val="22"/>
              </w:rPr>
              <w:t>预约运送查询</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sz w:val="22"/>
              </w:rPr>
              <w:t>预约统计查询</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sz w:val="22"/>
              </w:rPr>
              <w:t>诊室分时段预约统计</w:t>
            </w:r>
          </w:p>
        </w:tc>
      </w:tr>
      <w:tr>
        <w:tblPrEx>
          <w:tblCellMar>
            <w:top w:w="0" w:type="dxa"/>
            <w:left w:w="108" w:type="dxa"/>
            <w:bottom w:w="0" w:type="dxa"/>
            <w:right w:w="108" w:type="dxa"/>
          </w:tblCellMar>
        </w:tblPrEx>
        <w:trPr>
          <w:trHeight w:val="465" w:hRule="atLeast"/>
        </w:trPr>
        <w:tc>
          <w:tcPr>
            <w:tcW w:w="202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诊间预约管理</w:t>
            </w:r>
          </w:p>
        </w:tc>
        <w:tc>
          <w:tcPr>
            <w:tcW w:w="2306"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诊间端</w:t>
            </w:r>
          </w:p>
        </w:tc>
        <w:tc>
          <w:tcPr>
            <w:tcW w:w="2574" w:type="dxa"/>
            <w:tcBorders>
              <w:top w:val="single" w:color="auto" w:sz="4" w:space="0"/>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住院护士站预约</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系统管理中心</w:t>
            </w:r>
          </w:p>
        </w:tc>
        <w:tc>
          <w:tcPr>
            <w:tcW w:w="230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基础配置</w:t>
            </w: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数据字典维护</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系统参数配置</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桌面插件管理</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数据结构维护</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打印方案配置</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接口管理服务</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用户权限</w:t>
            </w: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用户管理</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权限组管理</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用户权限管理</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rPr>
            </w:pPr>
            <w:r>
              <w:rPr>
                <w:rFonts w:hint="eastAsia" w:ascii="仿宋" w:hAnsi="仿宋" w:eastAsia="仿宋" w:cs="仿宋"/>
                <w:kern w:val="0"/>
              </w:rPr>
              <w:t>系统日志</w:t>
            </w: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操作日志管理</w:t>
            </w:r>
          </w:p>
        </w:tc>
      </w:tr>
      <w:tr>
        <w:tblPrEx>
          <w:tblCellMar>
            <w:top w:w="0" w:type="dxa"/>
            <w:left w:w="108" w:type="dxa"/>
            <w:bottom w:w="0" w:type="dxa"/>
            <w:right w:w="108" w:type="dxa"/>
          </w:tblCellMar>
        </w:tblPrEx>
        <w:trPr>
          <w:trHeight w:val="465" w:hRule="atLeast"/>
        </w:trPr>
        <w:tc>
          <w:tcPr>
            <w:tcW w:w="2025"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16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306"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kern w:val="0"/>
              </w:rPr>
            </w:pPr>
          </w:p>
        </w:tc>
        <w:tc>
          <w:tcPr>
            <w:tcW w:w="2574" w:type="dxa"/>
            <w:tcBorders>
              <w:top w:val="nil"/>
              <w:left w:val="nil"/>
              <w:bottom w:val="single" w:color="auto" w:sz="4" w:space="0"/>
              <w:right w:val="single" w:color="auto" w:sz="4" w:space="0"/>
            </w:tcBorders>
            <w:vAlign w:val="center"/>
          </w:tcPr>
          <w:p>
            <w:pPr>
              <w:widowControl/>
              <w:jc w:val="left"/>
              <w:rPr>
                <w:rFonts w:hint="eastAsia" w:ascii="仿宋" w:hAnsi="仿宋" w:eastAsia="仿宋" w:cs="仿宋"/>
                <w:kern w:val="0"/>
              </w:rPr>
            </w:pPr>
            <w:r>
              <w:rPr>
                <w:rFonts w:hint="eastAsia" w:ascii="仿宋" w:hAnsi="仿宋" w:eastAsia="仿宋" w:cs="仿宋"/>
                <w:kern w:val="0"/>
              </w:rPr>
              <w:t>错误日志管理</w:t>
            </w:r>
          </w:p>
        </w:tc>
      </w:tr>
      <w:bookmarkEnd w:id="6"/>
    </w:tbl>
    <w:p>
      <w:pPr>
        <w:rPr>
          <w:rFonts w:hint="eastAsia" w:ascii="仿宋" w:hAnsi="仿宋" w:eastAsia="仿宋" w:cs="仿宋"/>
        </w:rPr>
      </w:pPr>
    </w:p>
    <w:p>
      <w:pPr>
        <w:rPr>
          <w:rFonts w:hint="eastAsia" w:ascii="仿宋" w:hAnsi="仿宋" w:eastAsia="仿宋" w:cs="仿宋"/>
          <w:b/>
          <w:bCs/>
          <w:sz w:val="24"/>
          <w:szCs w:val="24"/>
        </w:rPr>
      </w:pPr>
      <w:r>
        <w:rPr>
          <w:rFonts w:hint="eastAsia" w:ascii="仿宋" w:hAnsi="仿宋" w:eastAsia="仿宋" w:cs="仿宋"/>
          <w:b/>
          <w:bCs/>
          <w:sz w:val="24"/>
          <w:szCs w:val="24"/>
        </w:rPr>
        <w:t>门诊服务：</w:t>
      </w:r>
    </w:p>
    <w:tbl>
      <w:tblPr>
        <w:tblStyle w:val="21"/>
        <w:tblW w:w="8642" w:type="dxa"/>
        <w:jc w:val="center"/>
        <w:tblLayout w:type="autofit"/>
        <w:tblCellMar>
          <w:top w:w="0" w:type="dxa"/>
          <w:left w:w="108" w:type="dxa"/>
          <w:bottom w:w="0" w:type="dxa"/>
          <w:right w:w="108" w:type="dxa"/>
        </w:tblCellMar>
      </w:tblPr>
      <w:tblGrid>
        <w:gridCol w:w="846"/>
        <w:gridCol w:w="1276"/>
        <w:gridCol w:w="1842"/>
        <w:gridCol w:w="4678"/>
      </w:tblGrid>
      <w:tr>
        <w:tblPrEx>
          <w:tblCellMar>
            <w:top w:w="0" w:type="dxa"/>
            <w:left w:w="108" w:type="dxa"/>
            <w:bottom w:w="0" w:type="dxa"/>
            <w:right w:w="108" w:type="dxa"/>
          </w:tblCellMar>
        </w:tblPrEx>
        <w:trPr>
          <w:trHeight w:val="276" w:hRule="atLeast"/>
          <w:jc w:val="center"/>
        </w:trPr>
        <w:tc>
          <w:tcPr>
            <w:tcW w:w="846" w:type="dxa"/>
            <w:tcBorders>
              <w:top w:val="single" w:color="auto" w:sz="4" w:space="0"/>
              <w:left w:val="single" w:color="auto" w:sz="4" w:space="0"/>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菜单</w:t>
            </w:r>
          </w:p>
        </w:tc>
        <w:tc>
          <w:tcPr>
            <w:tcW w:w="1276" w:type="dxa"/>
            <w:tcBorders>
              <w:top w:val="single" w:color="auto" w:sz="4" w:space="0"/>
              <w:left w:val="single" w:color="auto" w:sz="4" w:space="0"/>
              <w:bottom w:val="single" w:color="auto" w:sz="4" w:space="0"/>
              <w:right w:val="single" w:color="auto" w:sz="4" w:space="0"/>
            </w:tcBorders>
            <w:shd w:val="clear" w:color="000000" w:fill="BDD7EE"/>
            <w:noWrap/>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一级功能</w:t>
            </w:r>
          </w:p>
        </w:tc>
        <w:tc>
          <w:tcPr>
            <w:tcW w:w="1842" w:type="dxa"/>
            <w:tcBorders>
              <w:top w:val="single" w:color="auto" w:sz="4" w:space="0"/>
              <w:left w:val="nil"/>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二级功能</w:t>
            </w:r>
          </w:p>
        </w:tc>
        <w:tc>
          <w:tcPr>
            <w:tcW w:w="4678" w:type="dxa"/>
            <w:tcBorders>
              <w:top w:val="single" w:color="auto" w:sz="4" w:space="0"/>
              <w:left w:val="nil"/>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功能描述</w:t>
            </w:r>
          </w:p>
        </w:tc>
      </w:tr>
      <w:tr>
        <w:tblPrEx>
          <w:tblCellMar>
            <w:top w:w="0" w:type="dxa"/>
            <w:left w:w="108" w:type="dxa"/>
            <w:bottom w:w="0" w:type="dxa"/>
            <w:right w:w="108" w:type="dxa"/>
          </w:tblCellMar>
        </w:tblPrEx>
        <w:trPr>
          <w:trHeight w:val="552" w:hRule="atLeast"/>
          <w:jc w:val="center"/>
        </w:trPr>
        <w:tc>
          <w:tcPr>
            <w:tcW w:w="846" w:type="dxa"/>
            <w:vMerge w:val="restart"/>
            <w:tcBorders>
              <w:top w:val="nil"/>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门诊服务</w:t>
            </w: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就诊人绑定</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在线建档</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支持首诊患者通过录入姓名、身份证号、手机号等信息进行在线建档</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就诊人绑定</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通过用户姓名、身份证号查询用户在医院信息系统中的档案进行绑定</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多卡绑定</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支持一个账号绑定多个患者的就诊卡，方便用户为家人进行预约。一个患者只能绑定一个就诊卡。</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电子就诊卡</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支持患者使用电子就诊卡完成院内全流程就诊</w:t>
            </w:r>
          </w:p>
        </w:tc>
      </w:tr>
      <w:tr>
        <w:tblPrEx>
          <w:tblCellMar>
            <w:top w:w="0" w:type="dxa"/>
            <w:left w:w="108" w:type="dxa"/>
            <w:bottom w:w="0" w:type="dxa"/>
            <w:right w:w="108" w:type="dxa"/>
          </w:tblCellMar>
        </w:tblPrEx>
        <w:trPr>
          <w:trHeight w:val="71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实名认证</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支持患者在线完成实名认证，身份证号在线校验。</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预约挂号</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分时号源查询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可以查询医生分时号源信息，可以查询到时间段内剩余号源数</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预约挂号缴费</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支持患者在线预约挂号，支持在线支付</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预约挂号成功通知</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挂号成功后通过短信、微信、APP消息等方式通知患者</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预约挂号记录查询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用户可以查询预约挂号记录</w:t>
            </w:r>
          </w:p>
        </w:tc>
      </w:tr>
      <w:tr>
        <w:tblPrEx>
          <w:tblCellMar>
            <w:top w:w="0" w:type="dxa"/>
            <w:left w:w="108" w:type="dxa"/>
            <w:bottom w:w="0" w:type="dxa"/>
            <w:right w:w="108" w:type="dxa"/>
          </w:tblCellMar>
        </w:tblPrEx>
        <w:trPr>
          <w:trHeight w:val="828"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停诊通知</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当患者预约的号停诊时，自动帮患者取消预约，已经支付的自动退款，并通过短信、微信、APP消息等方式通知患者</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检验检查预约</w:t>
            </w:r>
          </w:p>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（嵌入第三方或与第三方对接）</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检验检查处方查询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患者可以在手机端查询已付费的检验检查处方记录</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检验检查预约</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系统会自动推荐检验检查时间，用户也可以根据自身情况调整检验检查预约时间</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检验检查预约记录查询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用户可以查询检验检查预约记录</w:t>
            </w:r>
          </w:p>
        </w:tc>
      </w:tr>
      <w:tr>
        <w:tblPrEx>
          <w:tblCellMar>
            <w:top w:w="0" w:type="dxa"/>
            <w:left w:w="108" w:type="dxa"/>
            <w:bottom w:w="0" w:type="dxa"/>
            <w:right w:w="108" w:type="dxa"/>
          </w:tblCellMar>
        </w:tblPrEx>
        <w:trPr>
          <w:trHeight w:val="828"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检验检查预约成功通知</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预约成功后通过短信、微信、APP消息等方式通知患者预约信息、检验检查注意事项等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排队候诊</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排队叫号提醒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提供排队叫号消息提醒，通过短信、微信、APP消息等方式提供用户排队信息</w:t>
            </w:r>
          </w:p>
        </w:tc>
      </w:tr>
      <w:tr>
        <w:tblPrEx>
          <w:tblCellMar>
            <w:top w:w="0" w:type="dxa"/>
            <w:left w:w="108" w:type="dxa"/>
            <w:bottom w:w="0" w:type="dxa"/>
            <w:right w:w="108" w:type="dxa"/>
          </w:tblCellMar>
        </w:tblPrEx>
        <w:trPr>
          <w:trHeight w:val="828"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排队叫号查询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用户可以在手机端实时查询候诊、治疗等排队信息，查询当前就诊序号、我的号序、剩余人数等信息</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门诊缴费</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待缴费处方查询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用户可在手机端查询待缴费处方信息</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门诊支付</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用户可以在手机端进行待缴费处方支付</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缴费成功通知</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门诊处方支付成功后，推送消息提醒患者</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缴费记录查询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患者可以查询缴费记录</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用药指导</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用户可以通过处方记录查询用药指导信息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取药提醒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通过短信、微信、APP消息等方式给患者推送取药提醒消息</w:t>
            </w:r>
          </w:p>
        </w:tc>
      </w:tr>
      <w:tr>
        <w:tblPrEx>
          <w:tblCellMar>
            <w:top w:w="0" w:type="dxa"/>
            <w:left w:w="108" w:type="dxa"/>
            <w:bottom w:w="0" w:type="dxa"/>
            <w:right w:w="108" w:type="dxa"/>
          </w:tblCellMar>
        </w:tblPrEx>
        <w:trPr>
          <w:trHeight w:val="828"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nil"/>
              <w:left w:val="single" w:color="auto" w:sz="4" w:space="0"/>
              <w:bottom w:val="single" w:color="000000"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检验检查查询</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报告单查询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患者可以查询自己历次就诊的检验检查报告单，并可查看检验的详细结果和检查的结果描述与诊断，与本院移动影像系统对接，支持患者在线查看相关</w:t>
            </w:r>
            <w:r>
              <w:rPr>
                <w:rFonts w:hint="eastAsia" w:ascii="仿宋" w:hAnsi="仿宋" w:eastAsia="仿宋" w:cs="仿宋"/>
                <w:color w:val="000000"/>
                <w:kern w:val="0"/>
                <w:sz w:val="22"/>
                <w:lang w:eastAsia="zh-CN"/>
              </w:rPr>
              <w:t>影像</w:t>
            </w:r>
            <w:r>
              <w:rPr>
                <w:rFonts w:hint="eastAsia" w:ascii="仿宋" w:hAnsi="仿宋" w:eastAsia="仿宋" w:cs="仿宋"/>
                <w:color w:val="000000"/>
                <w:kern w:val="0"/>
                <w:sz w:val="22"/>
              </w:rPr>
              <w:t>报告。</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报告出具提醒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当患者检验检查报告出具后，平台将会推送消息给患者提醒患者及时查看</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室内导航</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室内导航</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对接室内导航系统，通过蓝牙为患者提供动态室内地图查询服务，支持患者在线查询各科室位置。为患者提供与个人诊疗活动相关的院内定位与导航服务</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restart"/>
            <w:tcBorders>
              <w:top w:val="nil"/>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医院信息</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医院介绍</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医院的文字、图片详细介绍，提供后台发布修改</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科室介绍</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医院科室信息介绍，包含科室特色、科室位置等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专家介绍</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医院专家信息介绍，包含专家擅长、出诊时间等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智能导诊</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智能导诊</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通过点击身体部位进行自测，根据症状推荐可能的就诊科室</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就诊指南</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就诊指南</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用户可以在手机端查询就诊指南、就诊注意事项等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tcBorders>
              <w:top w:val="nil"/>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健康宣教</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健康宣教</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用户可以在手机端查询健康宣教等医学知识</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tcBorders>
              <w:top w:val="nil"/>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门诊MDT</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会诊介绍</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介绍本院MDT开展情况及相关MDT就诊流程介绍。（可嵌入门诊会诊系统）</w:t>
            </w:r>
          </w:p>
        </w:tc>
      </w:tr>
      <w:tr>
        <w:tblPrEx>
          <w:tblCellMar>
            <w:top w:w="0" w:type="dxa"/>
            <w:left w:w="108" w:type="dxa"/>
            <w:bottom w:w="0" w:type="dxa"/>
            <w:right w:w="108" w:type="dxa"/>
          </w:tblCellMar>
        </w:tblPrEx>
        <w:trPr>
          <w:trHeight w:val="946" w:hRule="atLeast"/>
          <w:jc w:val="center"/>
        </w:trPr>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全流程消息推送</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诊间通知</w:t>
            </w:r>
          </w:p>
        </w:tc>
        <w:tc>
          <w:tcPr>
            <w:tcW w:w="1842" w:type="dxa"/>
            <w:tcBorders>
              <w:top w:val="single" w:color="auto" w:sz="4" w:space="0"/>
              <w:left w:val="nil"/>
              <w:right w:val="single" w:color="auto" w:sz="4" w:space="0"/>
            </w:tcBorders>
            <w:shd w:val="clear" w:color="auto" w:fill="auto"/>
            <w:vAlign w:val="center"/>
          </w:tcPr>
          <w:p>
            <w:pPr>
              <w:jc w:val="center"/>
              <w:rPr>
                <w:rFonts w:hint="eastAsia" w:ascii="仿宋" w:hAnsi="仿宋" w:eastAsia="仿宋" w:cs="仿宋"/>
                <w:color w:val="000000"/>
                <w:kern w:val="0"/>
                <w:sz w:val="22"/>
              </w:rPr>
            </w:pPr>
            <w:r>
              <w:rPr>
                <w:rFonts w:hint="eastAsia" w:ascii="仿宋" w:hAnsi="仿宋" w:eastAsia="仿宋" w:cs="仿宋"/>
                <w:color w:val="000000"/>
                <w:kern w:val="0"/>
                <w:sz w:val="22"/>
              </w:rPr>
              <w:t>检验、检查提醒</w:t>
            </w:r>
          </w:p>
        </w:tc>
        <w:tc>
          <w:tcPr>
            <w:tcW w:w="4678" w:type="dxa"/>
            <w:tcBorders>
              <w:top w:val="single" w:color="auto" w:sz="4" w:space="0"/>
              <w:left w:val="nil"/>
              <w:right w:val="single" w:color="auto" w:sz="4" w:space="0"/>
            </w:tcBorders>
            <w:shd w:val="clear" w:color="auto" w:fill="auto"/>
            <w:vAlign w:val="center"/>
          </w:tcPr>
          <w:p>
            <w:pPr>
              <w:jc w:val="left"/>
              <w:rPr>
                <w:rFonts w:hint="eastAsia" w:ascii="仿宋" w:hAnsi="仿宋" w:eastAsia="仿宋" w:cs="仿宋"/>
                <w:color w:val="000000"/>
                <w:kern w:val="0"/>
                <w:sz w:val="22"/>
              </w:rPr>
            </w:pPr>
            <w:r>
              <w:rPr>
                <w:rFonts w:hint="eastAsia" w:ascii="仿宋" w:hAnsi="仿宋" w:eastAsia="仿宋" w:cs="仿宋"/>
                <w:color w:val="000000"/>
                <w:kern w:val="0"/>
                <w:sz w:val="22"/>
              </w:rPr>
              <w:t>处方开立后提醒患者相关检验检查项目，患者点开后可查看相关处方细项。并可在报告出来后第一时间提醒患者相关报告已出。</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取药提醒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患者在取药后，给患者推送相关已取药通知并在后台保存相关取药记录。</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诊后通知</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复诊提醒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通过短信、微信、APP消息等方式给患者推送复诊提醒</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用药提醒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通过短信、微信、APP消息等方式给患者推送用药提醒</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生活指导</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通过短信、微信、APP消息等方式给患者推送生活指导</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聚合推送平台</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聚合推送</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为医院提供短信、微信、APP推送的消息推送平台。结合实际业务场景，通过智能化推送平台，使用不同的推送渠道为患者提供就医过程中全生命周期的患者提醒及消息推送服务。</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随访及满意度</w:t>
            </w:r>
          </w:p>
        </w:tc>
        <w:tc>
          <w:tcPr>
            <w:tcW w:w="127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满意度调查</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就诊满意度调查问卷</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可以根据患者就诊活动，通过短信、微信、APP消息等方式动态推送满意度调查内容，满意度调查结果与就诊活动可对应</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投诉及意见反馈</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用户可以在APP端进行投诉及意见反馈，并通过短信、APP消息等方式收到回应</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随访系统</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随访问卷制定</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医院可以在管理后台进行随访问卷的制定，推送规则的设置等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随访问卷推送</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通过短信、微信、APP消息等方式给患者推送随访问卷</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随访问卷填写</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用户可以在手机端进行随访问卷的填写、提交</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随访结果统计</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医院管理人员可以在管理后台进行随访问卷的结果统计</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管理后台</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管理后台</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支持对所有随访（满意度）的对象管理，问卷管理、任务管理，实现自动推送和人工执行的只能化结合，并支持多场景的调用及应用能力。</w:t>
            </w:r>
          </w:p>
        </w:tc>
      </w:tr>
      <w:tr>
        <w:tblPrEx>
          <w:tblCellMar>
            <w:top w:w="0" w:type="dxa"/>
            <w:left w:w="108" w:type="dxa"/>
            <w:bottom w:w="0" w:type="dxa"/>
            <w:right w:w="108" w:type="dxa"/>
          </w:tblCellMar>
        </w:tblPrEx>
        <w:trPr>
          <w:trHeight w:val="552"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风险评估</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风险评估</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在线评估</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根据患者在线填报内容及患者既往史，对患者病情及诊疗情况进行在线风险评估。</w:t>
            </w:r>
          </w:p>
        </w:tc>
      </w:tr>
      <w:tr>
        <w:tblPrEx>
          <w:tblCellMar>
            <w:top w:w="0" w:type="dxa"/>
            <w:left w:w="108" w:type="dxa"/>
            <w:bottom w:w="0" w:type="dxa"/>
            <w:right w:w="108" w:type="dxa"/>
          </w:tblCellMar>
        </w:tblPrEx>
        <w:trPr>
          <w:trHeight w:val="552"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便捷服务</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患者便捷服务</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便捷服务</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为患者提供包括在线点餐、智慧轮椅等在内的患者院内便捷服务。</w:t>
            </w:r>
          </w:p>
        </w:tc>
      </w:tr>
      <w:tr>
        <w:tblPrEx>
          <w:tblCellMar>
            <w:top w:w="0" w:type="dxa"/>
            <w:left w:w="108" w:type="dxa"/>
            <w:bottom w:w="0" w:type="dxa"/>
            <w:right w:w="108" w:type="dxa"/>
          </w:tblCellMar>
        </w:tblPrEx>
        <w:trPr>
          <w:trHeight w:val="552"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互联网医院</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互联网医院</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互联网医院</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接入医院现有互联网医院相关复诊开方、在线咨询等服务。</w:t>
            </w:r>
          </w:p>
        </w:tc>
      </w:tr>
    </w:tbl>
    <w:p>
      <w:pPr>
        <w:rPr>
          <w:rFonts w:hint="eastAsia" w:ascii="仿宋" w:hAnsi="仿宋" w:eastAsia="仿宋" w:cs="仿宋"/>
        </w:rPr>
      </w:pPr>
    </w:p>
    <w:p>
      <w:pPr>
        <w:rPr>
          <w:rFonts w:hint="eastAsia" w:ascii="仿宋" w:hAnsi="仿宋" w:eastAsia="仿宋" w:cs="仿宋"/>
          <w:sz w:val="24"/>
          <w:szCs w:val="24"/>
        </w:rPr>
      </w:pPr>
    </w:p>
    <w:p>
      <w:pPr>
        <w:rPr>
          <w:rFonts w:hint="eastAsia" w:ascii="仿宋" w:hAnsi="仿宋" w:eastAsia="仿宋" w:cs="仿宋"/>
        </w:rPr>
      </w:pPr>
      <w:r>
        <w:rPr>
          <w:rFonts w:hint="eastAsia" w:ascii="仿宋" w:hAnsi="仿宋" w:eastAsia="仿宋" w:cs="仿宋"/>
          <w:b/>
          <w:bCs/>
          <w:sz w:val="24"/>
          <w:szCs w:val="24"/>
        </w:rPr>
        <w:t>住院患者服务</w:t>
      </w:r>
      <w:r>
        <w:rPr>
          <w:rFonts w:hint="eastAsia" w:ascii="仿宋" w:hAnsi="仿宋" w:eastAsia="仿宋" w:cs="仿宋"/>
        </w:rPr>
        <w:t>：</w:t>
      </w:r>
    </w:p>
    <w:tbl>
      <w:tblPr>
        <w:tblStyle w:val="21"/>
        <w:tblW w:w="8642" w:type="dxa"/>
        <w:jc w:val="center"/>
        <w:tblLayout w:type="autofit"/>
        <w:tblCellMar>
          <w:top w:w="0" w:type="dxa"/>
          <w:left w:w="108" w:type="dxa"/>
          <w:bottom w:w="0" w:type="dxa"/>
          <w:right w:w="108" w:type="dxa"/>
        </w:tblCellMar>
      </w:tblPr>
      <w:tblGrid>
        <w:gridCol w:w="846"/>
        <w:gridCol w:w="1276"/>
        <w:gridCol w:w="1842"/>
        <w:gridCol w:w="4678"/>
      </w:tblGrid>
      <w:tr>
        <w:tblPrEx>
          <w:tblCellMar>
            <w:top w:w="0" w:type="dxa"/>
            <w:left w:w="108" w:type="dxa"/>
            <w:bottom w:w="0" w:type="dxa"/>
            <w:right w:w="108" w:type="dxa"/>
          </w:tblCellMar>
        </w:tblPrEx>
        <w:trPr>
          <w:trHeight w:val="276" w:hRule="atLeast"/>
          <w:jc w:val="center"/>
        </w:trPr>
        <w:tc>
          <w:tcPr>
            <w:tcW w:w="846" w:type="dxa"/>
            <w:tcBorders>
              <w:top w:val="single" w:color="auto" w:sz="4" w:space="0"/>
              <w:left w:val="single" w:color="auto" w:sz="4" w:space="0"/>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菜单</w:t>
            </w:r>
          </w:p>
        </w:tc>
        <w:tc>
          <w:tcPr>
            <w:tcW w:w="1276" w:type="dxa"/>
            <w:tcBorders>
              <w:top w:val="single" w:color="auto" w:sz="4" w:space="0"/>
              <w:left w:val="single" w:color="auto" w:sz="4" w:space="0"/>
              <w:bottom w:val="single" w:color="auto" w:sz="4" w:space="0"/>
              <w:right w:val="single" w:color="auto" w:sz="4" w:space="0"/>
            </w:tcBorders>
            <w:shd w:val="clear" w:color="000000" w:fill="BDD7EE"/>
            <w:noWrap/>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一级功能</w:t>
            </w:r>
          </w:p>
        </w:tc>
        <w:tc>
          <w:tcPr>
            <w:tcW w:w="1842" w:type="dxa"/>
            <w:tcBorders>
              <w:top w:val="single" w:color="auto" w:sz="4" w:space="0"/>
              <w:left w:val="nil"/>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二级功能</w:t>
            </w:r>
          </w:p>
        </w:tc>
        <w:tc>
          <w:tcPr>
            <w:tcW w:w="4678" w:type="dxa"/>
            <w:tcBorders>
              <w:top w:val="single" w:color="auto" w:sz="4" w:space="0"/>
              <w:left w:val="nil"/>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功能描述</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bookmarkStart w:id="7" w:name="_Hlk54249919"/>
            <w:r>
              <w:rPr>
                <w:rFonts w:hint="eastAsia" w:ascii="仿宋" w:hAnsi="仿宋" w:eastAsia="仿宋" w:cs="仿宋"/>
                <w:color w:val="000000"/>
                <w:kern w:val="0"/>
                <w:sz w:val="22"/>
              </w:rPr>
              <w:t>全流程消息推送</w:t>
            </w:r>
          </w:p>
        </w:tc>
        <w:tc>
          <w:tcPr>
            <w:tcW w:w="1276" w:type="dxa"/>
            <w:vMerge w:val="restart"/>
            <w:tcBorders>
              <w:top w:val="nil"/>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诊间通知</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手术通知</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通过短信、微信、APP消息等方式给患者推送手术通知</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入院提示</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通过短信、微信、APP消息等方式给患者推送入院提示</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出院提示</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通过短信、微信、APP消息等方式给患者推送出院提示</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危急值提醒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通过短信、微信、APP消息等方式给患者推送危急值</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restart"/>
            <w:tcBorders>
              <w:top w:val="nil"/>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诊后通知</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复诊提醒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通过短信、微信、APP消息等方式给患者推送复诊提醒</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用药提醒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通过短信、微信、APP消息等方式给患者推送用药提醒</w:t>
            </w:r>
          </w:p>
        </w:tc>
      </w:tr>
      <w:tr>
        <w:tblPrEx>
          <w:tblCellMar>
            <w:top w:w="0" w:type="dxa"/>
            <w:left w:w="108" w:type="dxa"/>
            <w:bottom w:w="0" w:type="dxa"/>
            <w:right w:w="108" w:type="dxa"/>
          </w:tblCellMar>
        </w:tblPrEx>
        <w:trPr>
          <w:trHeight w:val="552"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276" w:type="dxa"/>
            <w:vMerge w:val="continue"/>
            <w:tcBorders>
              <w:left w:val="single" w:color="auto" w:sz="4" w:space="0"/>
              <w:bottom w:val="single" w:color="000000" w:sz="4" w:space="0"/>
              <w:right w:val="single" w:color="auto" w:sz="4" w:space="0"/>
            </w:tcBorders>
            <w:vAlign w:val="center"/>
          </w:tcPr>
          <w:p>
            <w:pPr>
              <w:widowControl/>
              <w:jc w:val="left"/>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生活指导</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通过短信、微信、APP消息等方式给患者推送生活指导</w:t>
            </w:r>
          </w:p>
        </w:tc>
      </w:tr>
      <w:tr>
        <w:tblPrEx>
          <w:tblCellMar>
            <w:top w:w="0" w:type="dxa"/>
            <w:left w:w="108" w:type="dxa"/>
            <w:bottom w:w="0" w:type="dxa"/>
            <w:right w:w="108" w:type="dxa"/>
          </w:tblCellMar>
        </w:tblPrEx>
        <w:trPr>
          <w:trHeight w:val="276" w:hRule="atLeast"/>
          <w:jc w:val="center"/>
        </w:trPr>
        <w:tc>
          <w:tcPr>
            <w:tcW w:w="846"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住院服务</w:t>
            </w:r>
          </w:p>
        </w:tc>
        <w:tc>
          <w:tcPr>
            <w:tcW w:w="1276" w:type="dxa"/>
            <w:vMerge w:val="restart"/>
            <w:tcBorders>
              <w:top w:val="nil"/>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住院申请预约</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可预约床位查询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用户可在线查询可预约住院床位</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住院预约</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支持患者线上预约申请住院时间、床位类型等</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住院预约成功提醒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住院预约成功后通过短信、微信、APP消息等提醒患者住院预约信息</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住院预约记录查询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用户可以在手机端查询住院预约情况</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住院预交金充值</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住院预交余额查询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在线查询住院费用余额</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预交金充值</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在线预存住院费用</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充值成功提醒</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充值费用支付成功后，平台将会通知医院系统并向用户推送充值成功信息</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缴费记录查询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用户可以在手机端查询住院预交金充值记录</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restart"/>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住院清单</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住院日清单查询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用户可以通过住院号、身份证号、姓名等信息查询自己的住院日清单</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住院结算清单查询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用户可以通过住院号、身份证号、姓名等信息查询自己的住院总费用清单</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出院带药查询</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用户可以通过住院号、身份证号、姓名等信息查询自己的出院带药信息</w:t>
            </w:r>
          </w:p>
        </w:tc>
      </w:tr>
      <w:tr>
        <w:tblPrEx>
          <w:tblCellMar>
            <w:top w:w="0" w:type="dxa"/>
            <w:left w:w="108" w:type="dxa"/>
            <w:bottom w:w="0" w:type="dxa"/>
            <w:right w:w="108" w:type="dxa"/>
          </w:tblCellMar>
        </w:tblPrEx>
        <w:trPr>
          <w:trHeight w:val="276" w:hRule="atLeast"/>
          <w:jc w:val="center"/>
        </w:trPr>
        <w:tc>
          <w:tcPr>
            <w:tcW w:w="846" w:type="dxa"/>
            <w:vMerge w:val="continue"/>
            <w:tcBorders>
              <w:top w:val="single" w:color="auto" w:sz="4" w:space="0"/>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tcBorders>
              <w:left w:val="single" w:color="auto" w:sz="4" w:space="0"/>
              <w:bottom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手术情况</w:t>
            </w:r>
          </w:p>
        </w:tc>
        <w:tc>
          <w:tcPr>
            <w:tcW w:w="1842"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手术情况</w:t>
            </w:r>
          </w:p>
        </w:tc>
        <w:tc>
          <w:tcPr>
            <w:tcW w:w="4678" w:type="dxa"/>
            <w:tcBorders>
              <w:top w:val="nil"/>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color w:val="000000"/>
                <w:kern w:val="0"/>
                <w:sz w:val="22"/>
              </w:rPr>
              <w:t>用户可以在手机端实时查询手术进展情况</w:t>
            </w:r>
          </w:p>
        </w:tc>
      </w:tr>
      <w:tr>
        <w:tblPrEx>
          <w:tblCellMar>
            <w:top w:w="0" w:type="dxa"/>
            <w:left w:w="108" w:type="dxa"/>
            <w:bottom w:w="0" w:type="dxa"/>
            <w:right w:w="108" w:type="dxa"/>
          </w:tblCellMar>
        </w:tblPrEx>
        <w:trPr>
          <w:trHeight w:val="276" w:hRule="atLeast"/>
          <w:jc w:val="center"/>
        </w:trPr>
        <w:tc>
          <w:tcPr>
            <w:tcW w:w="846" w:type="dxa"/>
            <w:vMerge w:val="restart"/>
            <w:tcBorders>
              <w:top w:val="single" w:color="auto" w:sz="4" w:space="0"/>
              <w:left w:val="single" w:color="auto" w:sz="4" w:space="0"/>
              <w:right w:val="single" w:color="auto" w:sz="4" w:space="0"/>
            </w:tcBorders>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出院患者管理</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消息提醒</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用药提醒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提醒用户在医嘱规定时间合理用药</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复诊提醒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即将到达医嘱规定的复诊时间时，提醒患者及时复诊</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预约提醒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相关预约情况在特定时间点提醒患者</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聊天消息</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与医生沟通的消息提醒</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健康宣教</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健康教育</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可在线学习相关健康护理知识，接收医生的定点健康教育消息</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在线学习</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可在线学习相关专病的康复及护理知识</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个人中心</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基本信息管理</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可在线编辑个人基础信息</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预约管理</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可管理个人的预约情况</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个人病历</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个人的每次就诊的检验检查报告等相关病历信息</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慢病数据</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可在线记录或编辑个人慢病相关的专业数据</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医嘱（用药）</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科在线查看医生下达的相关医嘱及详情</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自我评测</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患者可在线完成相关评测</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复诊计划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可在线查看患者的个人复诊计划</w:t>
            </w:r>
          </w:p>
        </w:tc>
      </w:tr>
      <w:tr>
        <w:tblPrEx>
          <w:tblCellMar>
            <w:top w:w="0" w:type="dxa"/>
            <w:left w:w="108" w:type="dxa"/>
            <w:bottom w:w="0" w:type="dxa"/>
            <w:right w:w="108" w:type="dxa"/>
          </w:tblCellMar>
        </w:tblPrEx>
        <w:trPr>
          <w:trHeight w:val="68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随访计划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可在线查看个人的随访计划并可填写相关随访问卷。</w:t>
            </w:r>
          </w:p>
        </w:tc>
      </w:tr>
      <w:tr>
        <w:tblPrEx>
          <w:tblCellMar>
            <w:top w:w="0" w:type="dxa"/>
            <w:left w:w="108" w:type="dxa"/>
            <w:bottom w:w="0" w:type="dxa"/>
            <w:right w:w="108" w:type="dxa"/>
          </w:tblCellMar>
        </w:tblPrEx>
        <w:trPr>
          <w:trHeight w:val="276" w:hRule="atLeast"/>
          <w:jc w:val="center"/>
        </w:trPr>
        <w:tc>
          <w:tcPr>
            <w:tcW w:w="846" w:type="dxa"/>
            <w:vMerge w:val="restart"/>
            <w:tcBorders>
              <w:top w:val="single" w:color="auto" w:sz="4" w:space="0"/>
              <w:left w:val="single" w:color="auto" w:sz="4" w:space="0"/>
              <w:right w:val="single" w:color="auto" w:sz="4" w:space="0"/>
            </w:tcBorders>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在线会诊</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在线会诊</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会诊申请</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患者可在线进行MDT等会诊申请，填写相关信息后，医院进行线上审批。</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会诊安排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患者可在线查看已安排的会诊详情，包括会诊时间、会诊专家等。</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会诊结论</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会诊结束后，推送相关会诊结论给患者。</w:t>
            </w:r>
          </w:p>
        </w:tc>
      </w:tr>
      <w:tr>
        <w:tblPrEx>
          <w:tblCellMar>
            <w:top w:w="0" w:type="dxa"/>
            <w:left w:w="108" w:type="dxa"/>
            <w:bottom w:w="0" w:type="dxa"/>
            <w:right w:w="108" w:type="dxa"/>
          </w:tblCellMar>
        </w:tblPrEx>
        <w:trPr>
          <w:trHeight w:val="276" w:hRule="atLeast"/>
          <w:jc w:val="center"/>
        </w:trPr>
        <w:tc>
          <w:tcPr>
            <w:tcW w:w="846" w:type="dxa"/>
            <w:vMerge w:val="restart"/>
            <w:tcBorders>
              <w:top w:val="single" w:color="auto" w:sz="4" w:space="0"/>
              <w:left w:val="single" w:color="auto" w:sz="4" w:space="0"/>
              <w:right w:val="single" w:color="auto" w:sz="4" w:space="0"/>
            </w:tcBorders>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在线转诊</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r>
              <w:rPr>
                <w:rFonts w:hint="eastAsia" w:ascii="仿宋" w:hAnsi="仿宋" w:eastAsia="仿宋" w:cs="仿宋"/>
                <w:color w:val="000000"/>
                <w:kern w:val="0"/>
                <w:sz w:val="22"/>
              </w:rPr>
              <w:t>在线转诊</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转诊申请</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患者可在线发起医联体单位内的转正申请，填写相关信息后由医院审批授权。</w:t>
            </w:r>
          </w:p>
        </w:tc>
      </w:tr>
      <w:tr>
        <w:tblPrEx>
          <w:tblCellMar>
            <w:top w:w="0" w:type="dxa"/>
            <w:left w:w="108" w:type="dxa"/>
            <w:bottom w:w="0" w:type="dxa"/>
            <w:right w:w="108" w:type="dxa"/>
          </w:tblCellMar>
        </w:tblPrEx>
        <w:trPr>
          <w:trHeight w:val="276"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转诊详情</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可在线查看转诊详情及审批结果。</w:t>
            </w:r>
          </w:p>
        </w:tc>
      </w:tr>
      <w:bookmarkEnd w:id="7"/>
    </w:tbl>
    <w:p>
      <w:pPr>
        <w:rPr>
          <w:rFonts w:hint="eastAsia" w:ascii="仿宋" w:hAnsi="仿宋" w:eastAsia="仿宋" w:cs="仿宋"/>
        </w:rPr>
      </w:pPr>
    </w:p>
    <w:p>
      <w:pPr>
        <w:rPr>
          <w:rFonts w:hint="eastAsia" w:ascii="仿宋" w:hAnsi="仿宋" w:eastAsia="仿宋" w:cs="仿宋"/>
          <w:b/>
          <w:bCs/>
          <w:sz w:val="24"/>
          <w:szCs w:val="24"/>
        </w:rPr>
      </w:pPr>
      <w:r>
        <w:rPr>
          <w:rFonts w:hint="eastAsia" w:ascii="仿宋" w:hAnsi="仿宋" w:eastAsia="仿宋" w:cs="仿宋"/>
          <w:b/>
          <w:bCs/>
          <w:sz w:val="24"/>
          <w:szCs w:val="24"/>
        </w:rPr>
        <w:t>住院医生服务:</w:t>
      </w:r>
    </w:p>
    <w:tbl>
      <w:tblPr>
        <w:tblStyle w:val="21"/>
        <w:tblW w:w="8642" w:type="dxa"/>
        <w:jc w:val="center"/>
        <w:tblLayout w:type="autofit"/>
        <w:tblCellMar>
          <w:top w:w="0" w:type="dxa"/>
          <w:left w:w="108" w:type="dxa"/>
          <w:bottom w:w="0" w:type="dxa"/>
          <w:right w:w="108" w:type="dxa"/>
        </w:tblCellMar>
      </w:tblPr>
      <w:tblGrid>
        <w:gridCol w:w="846"/>
        <w:gridCol w:w="1276"/>
        <w:gridCol w:w="1842"/>
        <w:gridCol w:w="4678"/>
      </w:tblGrid>
      <w:tr>
        <w:tblPrEx>
          <w:tblCellMar>
            <w:top w:w="0" w:type="dxa"/>
            <w:left w:w="108" w:type="dxa"/>
            <w:bottom w:w="0" w:type="dxa"/>
            <w:right w:w="108" w:type="dxa"/>
          </w:tblCellMar>
        </w:tblPrEx>
        <w:trPr>
          <w:trHeight w:val="276" w:hRule="atLeast"/>
          <w:jc w:val="center"/>
        </w:trPr>
        <w:tc>
          <w:tcPr>
            <w:tcW w:w="846" w:type="dxa"/>
            <w:tcBorders>
              <w:top w:val="single" w:color="auto" w:sz="4" w:space="0"/>
              <w:left w:val="single" w:color="auto" w:sz="4" w:space="0"/>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菜单</w:t>
            </w:r>
          </w:p>
        </w:tc>
        <w:tc>
          <w:tcPr>
            <w:tcW w:w="1276" w:type="dxa"/>
            <w:tcBorders>
              <w:top w:val="single" w:color="auto" w:sz="4" w:space="0"/>
              <w:left w:val="single" w:color="auto" w:sz="4" w:space="0"/>
              <w:bottom w:val="single" w:color="auto" w:sz="4" w:space="0"/>
              <w:right w:val="single" w:color="auto" w:sz="4" w:space="0"/>
            </w:tcBorders>
            <w:shd w:val="clear" w:color="000000" w:fill="BDD7EE"/>
            <w:noWrap/>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一级功能</w:t>
            </w:r>
          </w:p>
        </w:tc>
        <w:tc>
          <w:tcPr>
            <w:tcW w:w="1842" w:type="dxa"/>
            <w:tcBorders>
              <w:top w:val="single" w:color="auto" w:sz="4" w:space="0"/>
              <w:left w:val="nil"/>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二级功能</w:t>
            </w:r>
          </w:p>
        </w:tc>
        <w:tc>
          <w:tcPr>
            <w:tcW w:w="4678" w:type="dxa"/>
            <w:tcBorders>
              <w:top w:val="single" w:color="auto" w:sz="4" w:space="0"/>
              <w:left w:val="nil"/>
              <w:bottom w:val="single" w:color="auto" w:sz="4" w:space="0"/>
              <w:right w:val="single" w:color="auto" w:sz="4" w:space="0"/>
            </w:tcBorders>
            <w:shd w:val="clear" w:color="000000" w:fill="BDD7EE"/>
            <w:vAlign w:val="center"/>
          </w:tcPr>
          <w:p>
            <w:pPr>
              <w:widowControl/>
              <w:jc w:val="center"/>
              <w:rPr>
                <w:rFonts w:hint="eastAsia" w:ascii="仿宋" w:hAnsi="仿宋" w:eastAsia="仿宋" w:cs="仿宋"/>
                <w:b/>
                <w:bCs/>
                <w:color w:val="000000"/>
                <w:kern w:val="0"/>
                <w:sz w:val="22"/>
              </w:rPr>
            </w:pPr>
            <w:r>
              <w:rPr>
                <w:rFonts w:hint="eastAsia" w:ascii="仿宋" w:hAnsi="仿宋" w:eastAsia="仿宋" w:cs="仿宋"/>
                <w:b/>
                <w:bCs/>
                <w:color w:val="000000"/>
                <w:kern w:val="0"/>
                <w:sz w:val="22"/>
              </w:rPr>
              <w:t>功能描述</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移动医生工作站</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移动患者360视图</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患者首页</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展示患者的入院时间，诊断，病情，护理等级，管床医护，既往病史摘要，管床医护信息链接至通讯录</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病程录</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展现患者的病程录信息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医嘱</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按长期医嘱和临时医嘱分类展示医嘱的开具和执行情况</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检验</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显示所有的检验指标（包括异常值警示），以及每项指标的趋势图生成</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检查</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显示患者各类检查的文字结论和影像信息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病理</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显示患者所有的病理信息，包括镜下所见，免疫组化等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手术</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显示患者的术前小结，手术过程等信息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心电</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显示患者的心电文字结论和心电图信息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护理</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显示患者所有的护理记录</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sz w:val="22"/>
              </w:rPr>
              <w:t>病案首页</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展示患者病案首页中的关键信息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移动影像</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移动影像</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对接PACS系统，呈现透视、超声、内镜等各类图片，并可提供成组影像图片的播放、图片旋转、缩放、测距等功能</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即时聊天</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患者分享</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Cs w:val="21"/>
              </w:rPr>
              <w:t>医生可在线转发相关患者的某一项患者资料或全部患者详情给其他相关科室的医生，接受分享的用户不可继续分享</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通讯录</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通讯录</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 w:val="22"/>
              </w:rPr>
              <w:t>对接医院人员表，形成院内通讯录架构</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个人信息</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个人信息</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sz w:val="22"/>
              </w:rPr>
              <w:t>查看个人药占比、耗占比等业务数据和门诊、管床、手术等绩效类信息</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质控管理</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质控消息推送</w:t>
            </w:r>
          </w:p>
        </w:tc>
        <w:tc>
          <w:tcPr>
            <w:tcW w:w="1842" w:type="dxa"/>
            <w:vMerge w:val="restart"/>
            <w:tcBorders>
              <w:top w:val="single" w:color="auto" w:sz="4" w:space="0"/>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危急值推送</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1.危急值按权限推送，只有跟自己相关的危急值才能收到</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2.危急值有确认反馈机制，管理员可统计</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相关医护人员可以收到自己分管患者的危急值报告，收到危急值后可查看患者的基本信息情况并可填写信息进行确认，也可将该条报告转发给医院其他同事。</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restart"/>
            <w:tcBorders>
              <w:top w:val="single" w:color="auto" w:sz="4" w:space="0"/>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质控消息自动提醒（我司可根据视图进行数据抽取和事件判断）</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1.出现各类医疗质控事件时向相关人员推送信息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2.入院超三十天提醒</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3.计划外多次手术提醒</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4.抗生素多联提醒</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5.病情转危提醒</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6.入院72小时仍无诊断结论提醒</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7.I类切口手术使用抗生素提醒</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8.门诊迟到提醒</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在出现各类医疗质控事件时向相关人员推送信息，具体包括：入院超三十天提醒，计划外多次手术提醒，抗生素多联提醒，病情转危提醒，入院72小时仍无诊断结论提醒，I类切口手术使用抗生素提醒，门诊迟到提醒等（需要HIS接口配合工作量较大）</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药占比提醒</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rPr>
            </w:pPr>
            <w:r>
              <w:rPr>
                <w:rFonts w:hint="eastAsia" w:ascii="仿宋" w:hAnsi="仿宋" w:eastAsia="仿宋" w:cs="仿宋"/>
              </w:rPr>
              <w:t>若发现药占比超标，自动抓取消息，将其推送给诊疗组组长或全部组员。</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不良事件推送</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rPr>
            </w:pPr>
            <w:r>
              <w:rPr>
                <w:rFonts w:hint="eastAsia" w:ascii="仿宋" w:hAnsi="仿宋" w:eastAsia="仿宋" w:cs="仿宋"/>
              </w:rPr>
              <w:t>1. 不良事件分为若干种类型，重点事件、系统监控事件、其他事件等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rPr>
            </w:pPr>
            <w:r>
              <w:rPr>
                <w:rFonts w:hint="eastAsia" w:ascii="仿宋" w:hAnsi="仿宋" w:eastAsia="仿宋" w:cs="仿宋"/>
              </w:rPr>
              <w:t>2. 在线推送相关不良事件到相关责任人。</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门诊迟到</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rPr>
            </w:pPr>
            <w:r>
              <w:rPr>
                <w:rFonts w:hint="eastAsia" w:ascii="仿宋" w:hAnsi="仿宋" w:eastAsia="仿宋" w:cs="仿宋"/>
              </w:rPr>
              <w:t>通过对接门诊医生工作站和叫号系统自动监控门诊医生迟到，并进行微信端推送</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院感事件</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对接院感系统，推送耐药菌检出、疑似或确认发生院感、抗生素使用升级等事件</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rPr>
            </w:pPr>
            <w:r>
              <w:rPr>
                <w:rFonts w:hint="eastAsia" w:ascii="仿宋" w:hAnsi="仿宋" w:eastAsia="仿宋" w:cs="仿宋"/>
              </w:rPr>
              <w:t>文书缺失</w:t>
            </w:r>
          </w:p>
          <w:p>
            <w:pPr>
              <w:widowControl/>
              <w:jc w:val="center"/>
              <w:rPr>
                <w:rFonts w:hint="eastAsia" w:ascii="仿宋" w:hAnsi="仿宋" w:eastAsia="仿宋" w:cs="仿宋"/>
              </w:rPr>
            </w:pPr>
            <w:r>
              <w:rPr>
                <w:rFonts w:hint="eastAsia" w:ascii="仿宋" w:hAnsi="仿宋" w:eastAsia="仿宋" w:cs="仿宋"/>
              </w:rPr>
              <w:t>消息提醒</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对接电子病历系统，抓取文书缺失类提醒消息，将其推送到医生的手机端</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在线审批</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核心流程审批</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特殊药品审批</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rPr>
            </w:pPr>
            <w:r>
              <w:rPr>
                <w:rFonts w:hint="eastAsia" w:ascii="仿宋" w:hAnsi="仿宋" w:eastAsia="仿宋" w:cs="仿宋"/>
              </w:rPr>
              <w:t>对接患者电子病历，展现药敏试验结果、既往抗生素使用等信息，根据医院业务流程设计审批流，审批功能与PC端审批系统同步。</w:t>
            </w:r>
          </w:p>
          <w:p>
            <w:pPr>
              <w:widowControl/>
              <w:jc w:val="left"/>
              <w:rPr>
                <w:rFonts w:hint="eastAsia" w:ascii="仿宋" w:hAnsi="仿宋" w:eastAsia="仿宋" w:cs="仿宋"/>
                <w:color w:val="000000"/>
                <w:kern w:val="0"/>
                <w:sz w:val="22"/>
              </w:rPr>
            </w:pP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手术审批</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对接术前讨论等文书记录，提手术的移动端审批功能，与PC端审批同步。</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用血审批</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在移动端展示用血申请单，包括输血成份，输血量，受血者各项检验指标等，审批流程与PC端同步。</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病历审签</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color w:val="000000"/>
                <w:kern w:val="0"/>
                <w:sz w:val="22"/>
              </w:rPr>
            </w:pPr>
            <w:r>
              <w:rPr>
                <w:rFonts w:hint="eastAsia" w:ascii="仿宋" w:hAnsi="仿宋" w:eastAsia="仿宋" w:cs="仿宋"/>
              </w:rPr>
              <w:t>高年资医生可以在移动端对于低年资医护人员书写的病历进行浏览、审签。</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三师共管</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患者管理</w:t>
            </w: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患者360视图展示</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患者在院数据的展示，基本信息、检验、检查、医嘱、病历。。。</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慢病信息展示</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慢病相关的所有数据展示，包含历次随访和复诊的数据。</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信息修改</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对慢病相关的数据进行增删改。</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标签管理</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通过标签管理相关患者。</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智能搜索</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可通过慢性病病症、患者名称、诊疗医生等多种方式的患者搜索。</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在线聊天</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医生可与患者或患者所在社区医院的相关医生进行线上沟通。</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预约管理</w:t>
            </w: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初诊预约</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由基层往上级医院转的初诊患者的预约情况</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复诊预约</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上级的慢病患者复诊的相关预约情况</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随访管理</w:t>
            </w: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随访问卷</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可编辑相关随访问卷发送给对应的患者</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随访反馈</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可查看患者的随访情况</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随访提醒</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在相关患者随访时间即将到来时提醒医生</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消息提醒</w:t>
            </w: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患者药品提醒</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提醒医生相关患者的用药情况，包括是否正常吃药、是否需要再拿药</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tcPr>
          <w:p>
            <w:pPr>
              <w:widowControl/>
              <w:jc w:val="center"/>
              <w:rPr>
                <w:rFonts w:hint="eastAsia" w:ascii="仿宋" w:hAnsi="仿宋" w:eastAsia="仿宋" w:cs="仿宋"/>
                <w:color w:val="000000"/>
                <w:kern w:val="0"/>
                <w:sz w:val="22"/>
              </w:rPr>
            </w:pPr>
            <w:r>
              <w:rPr>
                <w:rFonts w:hint="eastAsia" w:ascii="仿宋" w:hAnsi="仿宋" w:eastAsia="仿宋" w:cs="仿宋"/>
                <w:szCs w:val="21"/>
              </w:rPr>
              <w:t>异常指标提醒</w:t>
            </w:r>
          </w:p>
        </w:tc>
        <w:tc>
          <w:tcPr>
            <w:tcW w:w="4678" w:type="dxa"/>
            <w:tcBorders>
              <w:top w:val="single" w:color="auto" w:sz="4" w:space="0"/>
              <w:left w:val="nil"/>
              <w:bottom w:val="single" w:color="auto" w:sz="4" w:space="0"/>
              <w:right w:val="single" w:color="auto" w:sz="4" w:space="0"/>
            </w:tcBorders>
            <w:shd w:val="clear" w:color="auto" w:fill="auto"/>
          </w:tcPr>
          <w:p>
            <w:pPr>
              <w:widowControl/>
              <w:jc w:val="left"/>
              <w:rPr>
                <w:rFonts w:hint="eastAsia" w:ascii="仿宋" w:hAnsi="仿宋" w:eastAsia="仿宋" w:cs="仿宋"/>
                <w:color w:val="000000"/>
                <w:kern w:val="0"/>
                <w:sz w:val="22"/>
              </w:rPr>
            </w:pPr>
            <w:r>
              <w:rPr>
                <w:rFonts w:hint="eastAsia" w:ascii="仿宋" w:hAnsi="仿宋" w:eastAsia="仿宋" w:cs="仿宋"/>
                <w:szCs w:val="21"/>
              </w:rPr>
              <w:t>患者个人相关数据指标出现异常提醒医生相关情况</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双向转诊</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患者信息</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患者信息浏览</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对接三甲医院信息系统和社区公卫系统，在移动端汇总展示患者的上下级医疗数据。信息包括门诊数据和住院数据，必要时甚至还包括体检数据等。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患者信息授权</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下级医院患者信息向上级医院的专家分享过程中，进行场景驱动的访问集中授权控制</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远程诊断</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远程会诊</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支持由下级医院医师发起邀请上级医院专家参与针对某个患者的会诊，由上级医院专家给出文字诊断和处置建议，后由下级医院医师负责最终处置方案</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远程诊断</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由下级医院影像医师发起远程阅片请求，上级医院专家阅片后提供诊断文字报告</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会诊/诊断台账</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提供上下级远程会诊、诊断的台账</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双向转诊</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患者上转</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包括患者上转的发起、审批、接收等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患者下转</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包括患者下转的发起、审批、接收等</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转诊台账</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包括患者上转、下转的台账</w:t>
            </w:r>
          </w:p>
        </w:tc>
      </w:tr>
      <w:tr>
        <w:tblPrEx>
          <w:tblCellMar>
            <w:top w:w="0" w:type="dxa"/>
            <w:left w:w="108" w:type="dxa"/>
            <w:bottom w:w="0" w:type="dxa"/>
            <w:right w:w="108" w:type="dxa"/>
          </w:tblCellMar>
        </w:tblPrEx>
        <w:trPr>
          <w:trHeight w:val="552" w:hRule="atLeast"/>
          <w:jc w:val="center"/>
        </w:trPr>
        <w:tc>
          <w:tcPr>
            <w:tcW w:w="846" w:type="dxa"/>
            <w:vMerge w:val="restart"/>
            <w:tcBorders>
              <w:top w:val="single" w:color="auto" w:sz="4" w:space="0"/>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r>
              <w:rPr>
                <w:rFonts w:hint="eastAsia" w:ascii="仿宋" w:hAnsi="仿宋" w:eastAsia="仿宋" w:cs="仿宋"/>
                <w:color w:val="000000"/>
                <w:kern w:val="0"/>
                <w:sz w:val="22"/>
              </w:rPr>
              <w:t>协作平台</w:t>
            </w:r>
          </w:p>
        </w:tc>
        <w:tc>
          <w:tcPr>
            <w:tcW w:w="1276" w:type="dxa"/>
            <w:vMerge w:val="restart"/>
            <w:tcBorders>
              <w:top w:val="single" w:color="auto" w:sz="4" w:space="0"/>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r>
              <w:rPr>
                <w:rFonts w:hint="eastAsia" w:ascii="仿宋" w:hAnsi="仿宋" w:eastAsia="仿宋" w:cs="仿宋"/>
              </w:rPr>
              <w:t>医疗协作平台</w:t>
            </w: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患者一键分享</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支持患者360视图的一键分享（包括把患者信息进行点对点分享和群组分享），结合移动医生工作站，支持基于患者一键分享的即时聊天。</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普通会诊</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支持会诊的发起，会诊通知的移动端推送（携带患者360视图），会诊签到，会诊意见的填写等功能</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急会诊</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支持急会诊的到场扫码签到和台账管理</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全院会诊</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支持会诊的申请、审批，发起，会诊消息推送以及会诊意见的书写。</w:t>
            </w:r>
          </w:p>
        </w:tc>
      </w:tr>
      <w:tr>
        <w:tblPrEx>
          <w:tblCellMar>
            <w:top w:w="0" w:type="dxa"/>
            <w:left w:w="108" w:type="dxa"/>
            <w:bottom w:w="0" w:type="dxa"/>
            <w:right w:w="108" w:type="dxa"/>
          </w:tblCellMar>
        </w:tblPrEx>
        <w:trPr>
          <w:trHeight w:val="552" w:hRule="atLeast"/>
          <w:jc w:val="center"/>
        </w:trPr>
        <w:tc>
          <w:tcPr>
            <w:tcW w:w="846" w:type="dxa"/>
            <w:vMerge w:val="continue"/>
            <w:tcBorders>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color w:val="000000"/>
                <w:kern w:val="0"/>
                <w:sz w:val="22"/>
              </w:rPr>
            </w:pPr>
          </w:p>
        </w:tc>
        <w:tc>
          <w:tcPr>
            <w:tcW w:w="1276" w:type="dxa"/>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hint="eastAsia" w:ascii="仿宋" w:hAnsi="仿宋" w:eastAsia="仿宋" w:cs="仿宋"/>
                <w:color w:val="000000"/>
                <w:kern w:val="0"/>
                <w:sz w:val="22"/>
              </w:rPr>
            </w:pPr>
          </w:p>
        </w:tc>
        <w:tc>
          <w:tcPr>
            <w:tcW w:w="184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szCs w:val="21"/>
              </w:rPr>
            </w:pPr>
            <w:r>
              <w:rPr>
                <w:rFonts w:hint="eastAsia" w:ascii="仿宋" w:hAnsi="仿宋" w:eastAsia="仿宋" w:cs="仿宋"/>
              </w:rPr>
              <w:t>多学科会诊</w:t>
            </w:r>
          </w:p>
        </w:tc>
        <w:tc>
          <w:tcPr>
            <w:tcW w:w="467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hint="eastAsia" w:ascii="仿宋" w:hAnsi="仿宋" w:eastAsia="仿宋" w:cs="仿宋"/>
                <w:szCs w:val="21"/>
              </w:rPr>
            </w:pPr>
            <w:r>
              <w:rPr>
                <w:rFonts w:hint="eastAsia" w:ascii="仿宋" w:hAnsi="仿宋" w:eastAsia="仿宋" w:cs="仿宋"/>
              </w:rPr>
              <w:t>支持MDT前的患者信息录入、专家资源池的维护及专家邀请、诊中的患者浏览及各学科的MDT意见录入及总体MDT结论的生成和一键打印，包括诊后的随访和疗效跟踪</w:t>
            </w:r>
          </w:p>
        </w:tc>
      </w:tr>
    </w:tbl>
    <w:p>
      <w:pPr>
        <w:rPr>
          <w:rFonts w:hint="eastAsia" w:ascii="仿宋" w:hAnsi="仿宋" w:eastAsia="仿宋" w:cs="仿宋"/>
          <w:b/>
          <w:bCs/>
          <w:sz w:val="22"/>
          <w:szCs w:val="24"/>
        </w:rPr>
      </w:pPr>
    </w:p>
    <w:p>
      <w:pPr>
        <w:pStyle w:val="2"/>
        <w:numPr>
          <w:ilvl w:val="0"/>
          <w:numId w:val="0"/>
        </w:numPr>
        <w:spacing w:after="156"/>
        <w:ind w:leftChars="0"/>
        <w:rPr>
          <w:rFonts w:hint="eastAsia" w:ascii="仿宋" w:hAnsi="仿宋" w:eastAsia="仿宋" w:cs="仿宋"/>
          <w:sz w:val="32"/>
          <w:szCs w:val="32"/>
          <w:lang w:val="en-US" w:eastAsia="zh-CN"/>
        </w:rPr>
      </w:pPr>
      <w:bookmarkStart w:id="8" w:name="_Toc25290"/>
      <w:r>
        <w:rPr>
          <w:rFonts w:hint="eastAsia" w:ascii="仿宋" w:hAnsi="仿宋" w:eastAsia="仿宋" w:cs="仿宋"/>
          <w:sz w:val="32"/>
          <w:szCs w:val="32"/>
          <w:lang w:val="en-US" w:eastAsia="zh-CN"/>
        </w:rPr>
        <w:t>2项目预算报价</w:t>
      </w:r>
      <w:bookmarkEnd w:id="8"/>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3751"/>
        <w:gridCol w:w="17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平台</w:t>
            </w: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系统</w:t>
            </w:r>
          </w:p>
        </w:tc>
        <w:tc>
          <w:tcPr>
            <w:tcW w:w="1780"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报价（万）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restart"/>
            <w:vAlign w:val="center"/>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门诊服务平台</w:t>
            </w: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门诊服务系统</w:t>
            </w:r>
          </w:p>
        </w:tc>
        <w:tc>
          <w:tcPr>
            <w:tcW w:w="1780" w:type="dxa"/>
            <w:vMerge w:val="restart"/>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全流程消息推送系统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随访及满意度系统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风险评估系统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便捷服务系统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互联网服务接入</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restart"/>
            <w:vAlign w:val="center"/>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住院患者服务平台</w:t>
            </w: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全流程消息推送系统</w:t>
            </w:r>
          </w:p>
        </w:tc>
        <w:tc>
          <w:tcPr>
            <w:tcW w:w="1780" w:type="dxa"/>
            <w:vMerge w:val="restart"/>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住院服务系统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出院患者管理系统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在线会诊系统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vAlign w:val="center"/>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在线转诊系统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restart"/>
            <w:vAlign w:val="center"/>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住院医生服务平台</w:t>
            </w: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移动医生工作站</w:t>
            </w:r>
          </w:p>
        </w:tc>
        <w:tc>
          <w:tcPr>
            <w:tcW w:w="1780" w:type="dxa"/>
            <w:vMerge w:val="restart"/>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质控管理系统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在线审批系统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三师共管系统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双向转诊系统</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vMerge w:val="continue"/>
          </w:tcPr>
          <w:p>
            <w:pPr>
              <w:jc w:val="center"/>
              <w:rPr>
                <w:rFonts w:hint="eastAsia" w:ascii="仿宋" w:hAnsi="仿宋" w:eastAsia="仿宋" w:cs="仿宋"/>
                <w:b w:val="0"/>
                <w:bCs w:val="0"/>
                <w:sz w:val="22"/>
                <w:szCs w:val="24"/>
              </w:rPr>
            </w:pPr>
          </w:p>
        </w:tc>
        <w:tc>
          <w:tcPr>
            <w:tcW w:w="3751" w:type="dxa"/>
          </w:tcPr>
          <w:p>
            <w:pPr>
              <w:jc w:val="center"/>
              <w:rPr>
                <w:rFonts w:hint="eastAsia" w:ascii="仿宋" w:hAnsi="仿宋" w:eastAsia="仿宋" w:cs="仿宋"/>
                <w:b w:val="0"/>
                <w:bCs w:val="0"/>
                <w:sz w:val="22"/>
                <w:szCs w:val="24"/>
              </w:rPr>
            </w:pPr>
            <w:r>
              <w:rPr>
                <w:rFonts w:hint="eastAsia" w:ascii="仿宋" w:hAnsi="仿宋" w:eastAsia="仿宋" w:cs="仿宋"/>
                <w:b w:val="0"/>
                <w:bCs w:val="0"/>
                <w:sz w:val="22"/>
                <w:szCs w:val="24"/>
              </w:rPr>
              <w:t>协作平台</w:t>
            </w:r>
          </w:p>
        </w:tc>
        <w:tc>
          <w:tcPr>
            <w:tcW w:w="1780" w:type="dxa"/>
            <w:vMerge w:val="continue"/>
          </w:tcPr>
          <w:p>
            <w:pPr>
              <w:jc w:val="center"/>
              <w:rPr>
                <w:rFonts w:hint="eastAsia" w:ascii="仿宋" w:hAnsi="仿宋" w:eastAsia="仿宋" w:cs="仿宋"/>
                <w:b w:val="0"/>
                <w:bCs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tcPr>
          <w:p>
            <w:pPr>
              <w:jc w:val="center"/>
              <w:rPr>
                <w:rFonts w:hint="eastAsia" w:ascii="仿宋" w:hAnsi="仿宋" w:eastAsia="仿宋" w:cs="仿宋"/>
                <w:b w:val="0"/>
                <w:bCs w:val="0"/>
                <w:sz w:val="22"/>
                <w:szCs w:val="24"/>
                <w:lang w:val="en-US" w:eastAsia="zh-CN"/>
              </w:rPr>
            </w:pPr>
            <w:r>
              <w:rPr>
                <w:rFonts w:hint="eastAsia" w:ascii="仿宋" w:hAnsi="仿宋" w:eastAsia="仿宋" w:cs="仿宋"/>
                <w:b w:val="0"/>
                <w:bCs w:val="0"/>
                <w:sz w:val="22"/>
                <w:szCs w:val="24"/>
                <w:lang w:val="en-US" w:eastAsia="zh-CN"/>
              </w:rPr>
              <w:t>合计</w:t>
            </w:r>
          </w:p>
        </w:tc>
        <w:tc>
          <w:tcPr>
            <w:tcW w:w="3751" w:type="dxa"/>
          </w:tcPr>
          <w:p>
            <w:pPr>
              <w:jc w:val="center"/>
              <w:rPr>
                <w:rFonts w:hint="eastAsia" w:ascii="仿宋" w:hAnsi="仿宋" w:eastAsia="仿宋" w:cs="仿宋"/>
                <w:b w:val="0"/>
                <w:bCs w:val="0"/>
                <w:sz w:val="22"/>
                <w:szCs w:val="24"/>
              </w:rPr>
            </w:pPr>
          </w:p>
        </w:tc>
        <w:tc>
          <w:tcPr>
            <w:tcW w:w="1780" w:type="dxa"/>
          </w:tcPr>
          <w:p>
            <w:pPr>
              <w:jc w:val="center"/>
              <w:rPr>
                <w:rFonts w:hint="eastAsia" w:ascii="仿宋" w:hAnsi="仿宋" w:eastAsia="仿宋" w:cs="仿宋"/>
                <w:b w:val="0"/>
                <w:bCs w:val="0"/>
                <w:sz w:val="22"/>
                <w:szCs w:val="24"/>
                <w:lang w:val="en-US" w:eastAsia="zh-CN"/>
              </w:rPr>
            </w:pPr>
          </w:p>
        </w:tc>
      </w:tr>
    </w:tbl>
    <w:p>
      <w:pPr>
        <w:pStyle w:val="2"/>
        <w:numPr>
          <w:ilvl w:val="0"/>
          <w:numId w:val="0"/>
        </w:numPr>
        <w:spacing w:after="156"/>
        <w:ind w:leftChars="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3咨询联系</w:t>
      </w:r>
    </w:p>
    <w:p>
      <w:pPr>
        <w:numPr>
          <w:ilvl w:val="0"/>
          <w:numId w:val="0"/>
        </w:numPr>
        <w:ind w:left="160" w:leftChars="0"/>
        <w:rPr>
          <w:rFonts w:hint="eastAsia" w:eastAsia="仿宋" w:cs="仿宋"/>
          <w:sz w:val="32"/>
          <w:szCs w:val="32"/>
          <w:lang w:val="en-US" w:eastAsia="zh-CN"/>
        </w:rPr>
      </w:pPr>
      <w:r>
        <w:rPr>
          <w:rFonts w:hint="eastAsia" w:eastAsia="仿宋" w:cs="仿宋"/>
          <w:sz w:val="32"/>
          <w:szCs w:val="32"/>
          <w:lang w:val="en-US" w:eastAsia="zh-CN"/>
        </w:rPr>
        <w:t>1、调研厂家需根据提供的表格格式填写报价。</w:t>
      </w:r>
    </w:p>
    <w:p>
      <w:pPr>
        <w:numPr>
          <w:ilvl w:val="0"/>
          <w:numId w:val="0"/>
        </w:numPr>
        <w:ind w:left="160" w:leftChars="0"/>
        <w:rPr>
          <w:rFonts w:hint="default"/>
          <w:lang w:val="en-US" w:eastAsia="zh-CN"/>
        </w:rPr>
      </w:pPr>
      <w:r>
        <w:rPr>
          <w:rFonts w:hint="eastAsia" w:eastAsia="仿宋" w:cs="仿宋"/>
          <w:sz w:val="32"/>
          <w:szCs w:val="32"/>
          <w:lang w:val="en-US" w:eastAsia="zh-CN"/>
        </w:rPr>
        <w:t>2、咨询联系：</w:t>
      </w:r>
      <w:r>
        <w:rPr>
          <w:rFonts w:hint="eastAsia" w:ascii="仿宋" w:hAnsi="仿宋" w:eastAsia="仿宋" w:cs="仿宋"/>
          <w:sz w:val="32"/>
          <w:szCs w:val="32"/>
          <w:lang w:val="en-US" w:eastAsia="zh-CN"/>
        </w:rPr>
        <w:t xml:space="preserve"> 数据中心 倪工 18151696899。</w:t>
      </w:r>
    </w:p>
    <w:p>
      <w:pPr>
        <w:rPr>
          <w:rFonts w:hint="default"/>
          <w:lang w:val="en-US" w:eastAsia="zh-CN"/>
        </w:rPr>
      </w:pPr>
    </w:p>
    <w:p>
      <w:pPr>
        <w:spacing w:line="360" w:lineRule="auto"/>
        <w:rPr>
          <w:rFonts w:hint="eastAsia" w:ascii="仿宋" w:hAnsi="仿宋" w:eastAsia="仿宋" w:cs="仿宋"/>
          <w:b w:val="0"/>
          <w:bCs w:val="0"/>
          <w:sz w:val="24"/>
          <w:szCs w:val="24"/>
        </w:rPr>
      </w:pPr>
    </w:p>
    <w:sectPr>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roman"/>
    <w:pitch w:val="default"/>
    <w:sig w:usb0="A00002BF" w:usb1="38CF7CFA" w:usb2="00000016" w:usb3="00000000" w:csb0="0004000F" w:csb1="00000000"/>
  </w:font>
  <w:font w:name="等线 Light">
    <w:panose1 w:val="02010600030101010101"/>
    <w:charset w:val="86"/>
    <w:family w:val="roman"/>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E13292"/>
    <w:multiLevelType w:val="multilevel"/>
    <w:tmpl w:val="74E13292"/>
    <w:lvl w:ilvl="0" w:tentative="0">
      <w:start w:val="1"/>
      <w:numFmt w:val="decimal"/>
      <w:pStyle w:val="2"/>
      <w:lvlText w:val="%1"/>
      <w:lvlJc w:val="left"/>
      <w:pPr>
        <w:ind w:left="432" w:hanging="432"/>
      </w:p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729"/>
    <w:rsid w:val="000016E5"/>
    <w:rsid w:val="00027C4E"/>
    <w:rsid w:val="0004770E"/>
    <w:rsid w:val="00052334"/>
    <w:rsid w:val="00052356"/>
    <w:rsid w:val="000854F8"/>
    <w:rsid w:val="00085523"/>
    <w:rsid w:val="000A1327"/>
    <w:rsid w:val="000A2475"/>
    <w:rsid w:val="000A47C1"/>
    <w:rsid w:val="000B0512"/>
    <w:rsid w:val="000F348A"/>
    <w:rsid w:val="001027BF"/>
    <w:rsid w:val="00114612"/>
    <w:rsid w:val="00137F18"/>
    <w:rsid w:val="001623E6"/>
    <w:rsid w:val="00177E5A"/>
    <w:rsid w:val="00192536"/>
    <w:rsid w:val="00194642"/>
    <w:rsid w:val="001965AE"/>
    <w:rsid w:val="001975DA"/>
    <w:rsid w:val="001C19D6"/>
    <w:rsid w:val="001C5063"/>
    <w:rsid w:val="001D1FE4"/>
    <w:rsid w:val="001D7100"/>
    <w:rsid w:val="001F51B0"/>
    <w:rsid w:val="0021126E"/>
    <w:rsid w:val="002229D0"/>
    <w:rsid w:val="00235DA2"/>
    <w:rsid w:val="00260D57"/>
    <w:rsid w:val="00285D5A"/>
    <w:rsid w:val="002C6201"/>
    <w:rsid w:val="002E38D5"/>
    <w:rsid w:val="002F2B10"/>
    <w:rsid w:val="002F612A"/>
    <w:rsid w:val="0031381B"/>
    <w:rsid w:val="003176AB"/>
    <w:rsid w:val="003200C5"/>
    <w:rsid w:val="00334CF9"/>
    <w:rsid w:val="00343478"/>
    <w:rsid w:val="0034480E"/>
    <w:rsid w:val="0035279C"/>
    <w:rsid w:val="00363B87"/>
    <w:rsid w:val="003B062A"/>
    <w:rsid w:val="003B3A0E"/>
    <w:rsid w:val="003B5D01"/>
    <w:rsid w:val="003D3362"/>
    <w:rsid w:val="003D474A"/>
    <w:rsid w:val="003D5D58"/>
    <w:rsid w:val="003D6770"/>
    <w:rsid w:val="004148E9"/>
    <w:rsid w:val="00431998"/>
    <w:rsid w:val="004502F8"/>
    <w:rsid w:val="00452F09"/>
    <w:rsid w:val="004566C2"/>
    <w:rsid w:val="00464635"/>
    <w:rsid w:val="00472C8B"/>
    <w:rsid w:val="00475F5C"/>
    <w:rsid w:val="004924E3"/>
    <w:rsid w:val="004A0D32"/>
    <w:rsid w:val="004A5734"/>
    <w:rsid w:val="004A59F5"/>
    <w:rsid w:val="004D425E"/>
    <w:rsid w:val="0052166F"/>
    <w:rsid w:val="00522809"/>
    <w:rsid w:val="00533006"/>
    <w:rsid w:val="005824F9"/>
    <w:rsid w:val="005A341E"/>
    <w:rsid w:val="005D1D03"/>
    <w:rsid w:val="005D4363"/>
    <w:rsid w:val="005E7B99"/>
    <w:rsid w:val="00616CDD"/>
    <w:rsid w:val="00632B4D"/>
    <w:rsid w:val="006446AA"/>
    <w:rsid w:val="006579F6"/>
    <w:rsid w:val="00657F29"/>
    <w:rsid w:val="00684160"/>
    <w:rsid w:val="00685F13"/>
    <w:rsid w:val="00691482"/>
    <w:rsid w:val="006B0B7D"/>
    <w:rsid w:val="006C6378"/>
    <w:rsid w:val="006C6C9D"/>
    <w:rsid w:val="00713080"/>
    <w:rsid w:val="007140C8"/>
    <w:rsid w:val="007366B1"/>
    <w:rsid w:val="00756257"/>
    <w:rsid w:val="00765CA6"/>
    <w:rsid w:val="00772C35"/>
    <w:rsid w:val="007A4762"/>
    <w:rsid w:val="007C34C9"/>
    <w:rsid w:val="007C5246"/>
    <w:rsid w:val="007D1F30"/>
    <w:rsid w:val="007D2A58"/>
    <w:rsid w:val="007E53FD"/>
    <w:rsid w:val="007F742A"/>
    <w:rsid w:val="0081636C"/>
    <w:rsid w:val="00817F48"/>
    <w:rsid w:val="00822819"/>
    <w:rsid w:val="00853128"/>
    <w:rsid w:val="00872CDC"/>
    <w:rsid w:val="008D5FF7"/>
    <w:rsid w:val="008E4E3A"/>
    <w:rsid w:val="008E7EE3"/>
    <w:rsid w:val="00905841"/>
    <w:rsid w:val="009310A4"/>
    <w:rsid w:val="009354DE"/>
    <w:rsid w:val="00937CF1"/>
    <w:rsid w:val="009412A5"/>
    <w:rsid w:val="00962B4F"/>
    <w:rsid w:val="00993BB2"/>
    <w:rsid w:val="009E6C80"/>
    <w:rsid w:val="009F1260"/>
    <w:rsid w:val="00A07BE0"/>
    <w:rsid w:val="00A16BE8"/>
    <w:rsid w:val="00A31BBD"/>
    <w:rsid w:val="00A67F5A"/>
    <w:rsid w:val="00A760E4"/>
    <w:rsid w:val="00A85EAA"/>
    <w:rsid w:val="00AC497D"/>
    <w:rsid w:val="00AC61A8"/>
    <w:rsid w:val="00AE46F3"/>
    <w:rsid w:val="00B011E1"/>
    <w:rsid w:val="00B06247"/>
    <w:rsid w:val="00B21A52"/>
    <w:rsid w:val="00B233DF"/>
    <w:rsid w:val="00B30A83"/>
    <w:rsid w:val="00B343F7"/>
    <w:rsid w:val="00B414B1"/>
    <w:rsid w:val="00B4723D"/>
    <w:rsid w:val="00B56633"/>
    <w:rsid w:val="00B5689C"/>
    <w:rsid w:val="00B72DEC"/>
    <w:rsid w:val="00B85077"/>
    <w:rsid w:val="00B875AC"/>
    <w:rsid w:val="00B9328C"/>
    <w:rsid w:val="00BB101E"/>
    <w:rsid w:val="00BC51BD"/>
    <w:rsid w:val="00BD68D1"/>
    <w:rsid w:val="00BF7CDF"/>
    <w:rsid w:val="00C06AFE"/>
    <w:rsid w:val="00C2577F"/>
    <w:rsid w:val="00C31362"/>
    <w:rsid w:val="00C90EFA"/>
    <w:rsid w:val="00CA4800"/>
    <w:rsid w:val="00CD1E59"/>
    <w:rsid w:val="00CD24E2"/>
    <w:rsid w:val="00CD5A9C"/>
    <w:rsid w:val="00CF3C9C"/>
    <w:rsid w:val="00D1226E"/>
    <w:rsid w:val="00D25154"/>
    <w:rsid w:val="00D31AF7"/>
    <w:rsid w:val="00D32E65"/>
    <w:rsid w:val="00D90DE2"/>
    <w:rsid w:val="00DA04D4"/>
    <w:rsid w:val="00DB6542"/>
    <w:rsid w:val="00DC4A8C"/>
    <w:rsid w:val="00DE73E8"/>
    <w:rsid w:val="00E23051"/>
    <w:rsid w:val="00E25501"/>
    <w:rsid w:val="00E3145E"/>
    <w:rsid w:val="00E45578"/>
    <w:rsid w:val="00E73501"/>
    <w:rsid w:val="00E741A1"/>
    <w:rsid w:val="00E93391"/>
    <w:rsid w:val="00EA4341"/>
    <w:rsid w:val="00EB193A"/>
    <w:rsid w:val="00ED7820"/>
    <w:rsid w:val="00EE6157"/>
    <w:rsid w:val="00EF7248"/>
    <w:rsid w:val="00F424E2"/>
    <w:rsid w:val="00F51C9E"/>
    <w:rsid w:val="00F65729"/>
    <w:rsid w:val="00F70340"/>
    <w:rsid w:val="00F87B2E"/>
    <w:rsid w:val="00F92F61"/>
    <w:rsid w:val="00FA0BED"/>
    <w:rsid w:val="00FA25CC"/>
    <w:rsid w:val="00FA5CA6"/>
    <w:rsid w:val="00FB7B95"/>
    <w:rsid w:val="00FC0FF9"/>
    <w:rsid w:val="00FC4F88"/>
    <w:rsid w:val="00FD3BDB"/>
    <w:rsid w:val="00FF2359"/>
    <w:rsid w:val="0B550FF3"/>
    <w:rsid w:val="118170CD"/>
    <w:rsid w:val="166B0B84"/>
    <w:rsid w:val="1722575E"/>
    <w:rsid w:val="20695D74"/>
    <w:rsid w:val="217E047A"/>
    <w:rsid w:val="23B24447"/>
    <w:rsid w:val="298209BF"/>
    <w:rsid w:val="2D0D76AD"/>
    <w:rsid w:val="2DC57309"/>
    <w:rsid w:val="389A0B64"/>
    <w:rsid w:val="48F504D0"/>
    <w:rsid w:val="5130588E"/>
    <w:rsid w:val="5B426EAE"/>
    <w:rsid w:val="6D237A19"/>
    <w:rsid w:val="6F2855A9"/>
    <w:rsid w:val="6F311CD0"/>
    <w:rsid w:val="765D4939"/>
    <w:rsid w:val="78AA6534"/>
    <w:rsid w:val="7BBC57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8"/>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link w:val="29"/>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30"/>
    <w:unhideWhenUsed/>
    <w:qFormat/>
    <w:uiPriority w:val="9"/>
    <w:pPr>
      <w:keepNext/>
      <w:keepLines/>
      <w:numPr>
        <w:ilvl w:val="4"/>
        <w:numId w:val="1"/>
      </w:numPr>
      <w:spacing w:before="280" w:after="290" w:line="376" w:lineRule="auto"/>
      <w:outlineLvl w:val="4"/>
    </w:pPr>
    <w:rPr>
      <w:b/>
      <w:bCs/>
      <w:sz w:val="28"/>
      <w:szCs w:val="28"/>
    </w:rPr>
  </w:style>
  <w:style w:type="paragraph" w:styleId="7">
    <w:name w:val="heading 6"/>
    <w:basedOn w:val="1"/>
    <w:next w:val="1"/>
    <w:link w:val="31"/>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2"/>
    <w:unhideWhenUsed/>
    <w:qFormat/>
    <w:uiPriority w:val="9"/>
    <w:pPr>
      <w:keepNext/>
      <w:keepLines/>
      <w:numPr>
        <w:ilvl w:val="6"/>
        <w:numId w:val="1"/>
      </w:numPr>
      <w:spacing w:before="240" w:after="64" w:line="320" w:lineRule="auto"/>
      <w:outlineLvl w:val="6"/>
    </w:pPr>
    <w:rPr>
      <w:b/>
      <w:bCs/>
      <w:sz w:val="24"/>
      <w:szCs w:val="24"/>
    </w:rPr>
  </w:style>
  <w:style w:type="paragraph" w:styleId="9">
    <w:name w:val="heading 8"/>
    <w:basedOn w:val="1"/>
    <w:next w:val="1"/>
    <w:link w:val="33"/>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0">
    <w:name w:val="heading 9"/>
    <w:basedOn w:val="1"/>
    <w:next w:val="1"/>
    <w:link w:val="34"/>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39"/>
    <w:semiHidden/>
    <w:unhideWhenUsed/>
    <w:qFormat/>
    <w:uiPriority w:val="99"/>
    <w:pPr>
      <w:jc w:val="left"/>
    </w:pPr>
  </w:style>
  <w:style w:type="paragraph" w:styleId="12">
    <w:name w:val="index 4"/>
    <w:basedOn w:val="1"/>
    <w:next w:val="1"/>
    <w:unhideWhenUsed/>
    <w:qFormat/>
    <w:uiPriority w:val="99"/>
    <w:pPr>
      <w:ind w:firstLine="0" w:firstLineChars="0"/>
      <w:jc w:val="left"/>
    </w:pPr>
  </w:style>
  <w:style w:type="paragraph" w:styleId="13">
    <w:name w:val="toc 3"/>
    <w:basedOn w:val="1"/>
    <w:next w:val="1"/>
    <w:unhideWhenUsed/>
    <w:qFormat/>
    <w:uiPriority w:val="39"/>
    <w:pPr>
      <w:ind w:left="840" w:leftChars="400"/>
    </w:pPr>
  </w:style>
  <w:style w:type="paragraph" w:styleId="14">
    <w:name w:val="Balloon Text"/>
    <w:basedOn w:val="1"/>
    <w:link w:val="41"/>
    <w:semiHidden/>
    <w:unhideWhenUsed/>
    <w:qFormat/>
    <w:uiPriority w:val="99"/>
    <w:rPr>
      <w:sz w:val="18"/>
      <w:szCs w:val="18"/>
    </w:rPr>
  </w:style>
  <w:style w:type="paragraph" w:styleId="15">
    <w:name w:val="footer"/>
    <w:basedOn w:val="1"/>
    <w:link w:val="38"/>
    <w:unhideWhenUsed/>
    <w:qFormat/>
    <w:uiPriority w:val="99"/>
    <w:pPr>
      <w:tabs>
        <w:tab w:val="center" w:pos="4153"/>
        <w:tab w:val="right" w:pos="8306"/>
      </w:tabs>
      <w:snapToGrid w:val="0"/>
      <w:jc w:val="left"/>
    </w:pPr>
    <w:rPr>
      <w:sz w:val="18"/>
      <w:szCs w:val="18"/>
    </w:rPr>
  </w:style>
  <w:style w:type="paragraph" w:styleId="16">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style>
  <w:style w:type="paragraph" w:styleId="18">
    <w:name w:val="toc 2"/>
    <w:basedOn w:val="1"/>
    <w:next w:val="1"/>
    <w:unhideWhenUsed/>
    <w:qFormat/>
    <w:uiPriority w:val="39"/>
    <w:pPr>
      <w:ind w:left="420" w:leftChars="200"/>
    </w:pPr>
  </w:style>
  <w:style w:type="paragraph" w:styleId="1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20">
    <w:name w:val="annotation subject"/>
    <w:basedOn w:val="11"/>
    <w:next w:val="11"/>
    <w:link w:val="40"/>
    <w:semiHidden/>
    <w:unhideWhenUsed/>
    <w:qFormat/>
    <w:uiPriority w:val="99"/>
    <w:rPr>
      <w:b/>
      <w:bCs/>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unhideWhenUsed/>
    <w:qFormat/>
    <w:uiPriority w:val="99"/>
    <w:rPr>
      <w:color w:val="0563C1" w:themeColor="hyperlink"/>
      <w:u w:val="single"/>
      <w14:textFill>
        <w14:solidFill>
          <w14:schemeClr w14:val="hlink"/>
        </w14:solidFill>
      </w14:textFill>
    </w:rPr>
  </w:style>
  <w:style w:type="character" w:styleId="25">
    <w:name w:val="annotation reference"/>
    <w:basedOn w:val="23"/>
    <w:semiHidden/>
    <w:unhideWhenUsed/>
    <w:qFormat/>
    <w:uiPriority w:val="99"/>
    <w:rPr>
      <w:sz w:val="21"/>
      <w:szCs w:val="21"/>
    </w:rPr>
  </w:style>
  <w:style w:type="character" w:customStyle="1" w:styleId="26">
    <w:name w:val="标题 1 Char"/>
    <w:basedOn w:val="23"/>
    <w:link w:val="2"/>
    <w:qFormat/>
    <w:uiPriority w:val="9"/>
    <w:rPr>
      <w:b/>
      <w:bCs/>
      <w:kern w:val="44"/>
      <w:sz w:val="44"/>
      <w:szCs w:val="44"/>
    </w:rPr>
  </w:style>
  <w:style w:type="character" w:customStyle="1" w:styleId="27">
    <w:name w:val="标题 2 Char"/>
    <w:basedOn w:val="23"/>
    <w:link w:val="3"/>
    <w:qFormat/>
    <w:uiPriority w:val="9"/>
    <w:rPr>
      <w:rFonts w:asciiTheme="majorHAnsi" w:hAnsiTheme="majorHAnsi" w:eastAsiaTheme="majorEastAsia" w:cstheme="majorBidi"/>
      <w:b/>
      <w:bCs/>
      <w:sz w:val="32"/>
      <w:szCs w:val="32"/>
    </w:rPr>
  </w:style>
  <w:style w:type="character" w:customStyle="1" w:styleId="28">
    <w:name w:val="标题 3 Char"/>
    <w:basedOn w:val="23"/>
    <w:link w:val="4"/>
    <w:qFormat/>
    <w:uiPriority w:val="9"/>
    <w:rPr>
      <w:b/>
      <w:bCs/>
      <w:sz w:val="32"/>
      <w:szCs w:val="32"/>
    </w:rPr>
  </w:style>
  <w:style w:type="character" w:customStyle="1" w:styleId="29">
    <w:name w:val="标题 4 Char"/>
    <w:basedOn w:val="23"/>
    <w:link w:val="5"/>
    <w:qFormat/>
    <w:uiPriority w:val="9"/>
    <w:rPr>
      <w:rFonts w:asciiTheme="majorHAnsi" w:hAnsiTheme="majorHAnsi" w:eastAsiaTheme="majorEastAsia" w:cstheme="majorBidi"/>
      <w:b/>
      <w:bCs/>
      <w:sz w:val="28"/>
      <w:szCs w:val="28"/>
    </w:rPr>
  </w:style>
  <w:style w:type="character" w:customStyle="1" w:styleId="30">
    <w:name w:val="标题 5 Char"/>
    <w:basedOn w:val="23"/>
    <w:link w:val="6"/>
    <w:qFormat/>
    <w:uiPriority w:val="9"/>
    <w:rPr>
      <w:b/>
      <w:bCs/>
      <w:sz w:val="28"/>
      <w:szCs w:val="28"/>
    </w:rPr>
  </w:style>
  <w:style w:type="character" w:customStyle="1" w:styleId="31">
    <w:name w:val="标题 6 Char"/>
    <w:basedOn w:val="23"/>
    <w:link w:val="7"/>
    <w:qFormat/>
    <w:uiPriority w:val="9"/>
    <w:rPr>
      <w:rFonts w:asciiTheme="majorHAnsi" w:hAnsiTheme="majorHAnsi" w:eastAsiaTheme="majorEastAsia" w:cstheme="majorBidi"/>
      <w:b/>
      <w:bCs/>
      <w:sz w:val="24"/>
      <w:szCs w:val="24"/>
    </w:rPr>
  </w:style>
  <w:style w:type="character" w:customStyle="1" w:styleId="32">
    <w:name w:val="标题 7 Char"/>
    <w:basedOn w:val="23"/>
    <w:link w:val="8"/>
    <w:qFormat/>
    <w:uiPriority w:val="9"/>
    <w:rPr>
      <w:b/>
      <w:bCs/>
      <w:sz w:val="24"/>
      <w:szCs w:val="24"/>
    </w:rPr>
  </w:style>
  <w:style w:type="character" w:customStyle="1" w:styleId="33">
    <w:name w:val="标题 8 Char"/>
    <w:basedOn w:val="23"/>
    <w:link w:val="9"/>
    <w:semiHidden/>
    <w:qFormat/>
    <w:uiPriority w:val="9"/>
    <w:rPr>
      <w:rFonts w:asciiTheme="majorHAnsi" w:hAnsiTheme="majorHAnsi" w:eastAsiaTheme="majorEastAsia" w:cstheme="majorBidi"/>
      <w:sz w:val="24"/>
      <w:szCs w:val="24"/>
    </w:rPr>
  </w:style>
  <w:style w:type="character" w:customStyle="1" w:styleId="34">
    <w:name w:val="标题 9 Char"/>
    <w:basedOn w:val="23"/>
    <w:link w:val="10"/>
    <w:semiHidden/>
    <w:qFormat/>
    <w:uiPriority w:val="9"/>
    <w:rPr>
      <w:rFonts w:asciiTheme="majorHAnsi" w:hAnsiTheme="majorHAnsi" w:eastAsiaTheme="majorEastAsia" w:cstheme="majorBidi"/>
      <w:szCs w:val="21"/>
    </w:rPr>
  </w:style>
  <w:style w:type="paragraph" w:styleId="35">
    <w:name w:val="List Paragraph"/>
    <w:basedOn w:val="1"/>
    <w:qFormat/>
    <w:uiPriority w:val="34"/>
    <w:pPr>
      <w:ind w:firstLine="420" w:firstLineChars="200"/>
    </w:pPr>
  </w:style>
  <w:style w:type="paragraph" w:customStyle="1" w:styleId="36">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37">
    <w:name w:val="页眉 Char"/>
    <w:basedOn w:val="23"/>
    <w:link w:val="16"/>
    <w:qFormat/>
    <w:uiPriority w:val="99"/>
    <w:rPr>
      <w:sz w:val="18"/>
      <w:szCs w:val="18"/>
    </w:rPr>
  </w:style>
  <w:style w:type="character" w:customStyle="1" w:styleId="38">
    <w:name w:val="页脚 Char"/>
    <w:basedOn w:val="23"/>
    <w:link w:val="15"/>
    <w:qFormat/>
    <w:uiPriority w:val="99"/>
    <w:rPr>
      <w:sz w:val="18"/>
      <w:szCs w:val="18"/>
    </w:rPr>
  </w:style>
  <w:style w:type="character" w:customStyle="1" w:styleId="39">
    <w:name w:val="批注文字 Char"/>
    <w:basedOn w:val="23"/>
    <w:link w:val="11"/>
    <w:semiHidden/>
    <w:qFormat/>
    <w:uiPriority w:val="99"/>
  </w:style>
  <w:style w:type="character" w:customStyle="1" w:styleId="40">
    <w:name w:val="批注主题 Char"/>
    <w:basedOn w:val="39"/>
    <w:link w:val="20"/>
    <w:semiHidden/>
    <w:qFormat/>
    <w:uiPriority w:val="99"/>
    <w:rPr>
      <w:b/>
      <w:bCs/>
    </w:rPr>
  </w:style>
  <w:style w:type="character" w:customStyle="1" w:styleId="41">
    <w:name w:val="批注框文本 Char"/>
    <w:basedOn w:val="23"/>
    <w:link w:val="14"/>
    <w:semiHidden/>
    <w:qFormat/>
    <w:uiPriority w:val="99"/>
    <w:rPr>
      <w:sz w:val="18"/>
      <w:szCs w:val="18"/>
    </w:rPr>
  </w:style>
  <w:style w:type="character" w:customStyle="1" w:styleId="42">
    <w:name w:val="font11"/>
    <w:basedOn w:val="23"/>
    <w:qFormat/>
    <w:uiPriority w:val="0"/>
    <w:rPr>
      <w:rFonts w:hint="eastAsia" w:ascii="宋体" w:hAnsi="宋体" w:eastAsia="宋体" w:cs="宋体"/>
      <w:color w:val="000000"/>
      <w:sz w:val="22"/>
      <w:szCs w:val="22"/>
      <w:u w:val="none"/>
    </w:rPr>
  </w:style>
  <w:style w:type="character" w:customStyle="1" w:styleId="43">
    <w:name w:val="font01"/>
    <w:basedOn w:val="23"/>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77DBB6-A6DB-4675-8D35-815B8AEA24B7}">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2379</Words>
  <Characters>13562</Characters>
  <Lines>113</Lines>
  <Paragraphs>31</Paragraphs>
  <TotalTime>1</TotalTime>
  <ScaleCrop>false</ScaleCrop>
  <LinksUpToDate>false</LinksUpToDate>
  <CharactersWithSpaces>15910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2017-10-13T03:08:00Z</dcterms:created>
  <dc:creator>kevin</dc:creator>
  <cp:lastModifiedBy>新生活</cp:lastModifiedBy>
  <cp:lastPrinted>2017-10-19T02:58:00Z</cp:lastPrinted>
  <dcterms:modified xsi:type="dcterms:W3CDTF">2021-03-24T09:22:18Z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2145FC42DC3640338F21A293F0C2933E</vt:lpwstr>
  </property>
</Properties>
</file>