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436E6" w14:textId="50EA79C3" w:rsidR="00BD455E" w:rsidRDefault="00BD455E" w:rsidP="00BD455E">
      <w:pPr>
        <w:pStyle w:val="a7"/>
        <w:spacing w:line="390" w:lineRule="exact"/>
        <w:ind w:firstLineChars="0" w:firstLine="0"/>
        <w:jc w:val="center"/>
        <w:outlineLvl w:val="2"/>
        <w:rPr>
          <w:rFonts w:ascii="宋体" w:hAnsi="宋体"/>
          <w:b/>
          <w:color w:val="000000"/>
          <w:sz w:val="30"/>
          <w:szCs w:val="30"/>
        </w:rPr>
      </w:pPr>
      <w:r w:rsidRPr="00BD455E">
        <w:rPr>
          <w:rFonts w:ascii="宋体" w:hAnsi="宋体" w:hint="eastAsia"/>
          <w:b/>
          <w:color w:val="000000"/>
          <w:sz w:val="30"/>
          <w:szCs w:val="30"/>
        </w:rPr>
        <w:t>应用情况</w:t>
      </w:r>
    </w:p>
    <w:p w14:paraId="4E4E1038" w14:textId="77777777" w:rsidR="00E64AB3" w:rsidRPr="00BD455E" w:rsidRDefault="00E64AB3" w:rsidP="00BD455E">
      <w:pPr>
        <w:pStyle w:val="a7"/>
        <w:spacing w:line="390" w:lineRule="exact"/>
        <w:ind w:firstLineChars="0" w:firstLine="0"/>
        <w:jc w:val="center"/>
        <w:outlineLvl w:val="2"/>
        <w:rPr>
          <w:rFonts w:ascii="宋体" w:hAnsi="宋体" w:hint="eastAsia"/>
          <w:b/>
          <w:color w:val="000000"/>
          <w:sz w:val="30"/>
          <w:szCs w:val="30"/>
        </w:rPr>
      </w:pPr>
      <w:bookmarkStart w:id="0" w:name="_GoBack"/>
      <w:bookmarkEnd w:id="0"/>
    </w:p>
    <w:p w14:paraId="7BBB0006" w14:textId="77777777" w:rsidR="00BD455E" w:rsidRDefault="00BD455E" w:rsidP="00DB7DB4">
      <w:pPr>
        <w:ind w:firstLineChars="200" w:firstLine="420"/>
        <w:rPr>
          <w:rFonts w:ascii="宋体" w:hAnsi="宋体" w:cs="Arial"/>
          <w:szCs w:val="21"/>
        </w:rPr>
      </w:pPr>
      <w:r>
        <w:rPr>
          <w:rFonts w:ascii="宋体" w:hAnsi="宋体" w:cs="Arial" w:hint="eastAsia"/>
          <w:szCs w:val="21"/>
        </w:rPr>
        <w:t xml:space="preserve">（1）本团队在遗传性非息肉病性大肠癌（HNPCC）家系的基础上，总结中国人HNPCC临床特征，制定了非典型中国人HNPCC的家系筛选标准、提出了以免疫组化结合MSI检测筛选中国人HNPCC家系的方法，成果被广泛引用和推荐，部分研究成果被美国胃肠病学会（American </w:t>
      </w:r>
      <w:proofErr w:type="spellStart"/>
      <w:r>
        <w:rPr>
          <w:rFonts w:ascii="宋体" w:hAnsi="宋体" w:cs="Arial" w:hint="eastAsia"/>
          <w:szCs w:val="21"/>
        </w:rPr>
        <w:t>Gastroentological</w:t>
      </w:r>
      <w:proofErr w:type="spellEnd"/>
      <w:r>
        <w:rPr>
          <w:rFonts w:ascii="宋体" w:hAnsi="宋体" w:cs="Arial" w:hint="eastAsia"/>
          <w:szCs w:val="21"/>
        </w:rPr>
        <w:t xml:space="preserve"> </w:t>
      </w:r>
      <w:proofErr w:type="spellStart"/>
      <w:r>
        <w:rPr>
          <w:rFonts w:ascii="宋体" w:hAnsi="宋体" w:cs="Arial" w:hint="eastAsia"/>
          <w:szCs w:val="21"/>
        </w:rPr>
        <w:t>Association,AGA</w:t>
      </w:r>
      <w:proofErr w:type="spellEnd"/>
      <w:r>
        <w:rPr>
          <w:rFonts w:ascii="宋体" w:hAnsi="宋体" w:cs="Arial" w:hint="eastAsia"/>
          <w:szCs w:val="21"/>
        </w:rPr>
        <w:t>）林奇综合症诊治技术指南和中国人遗传性大肠癌诊治指南推荐（2015）。HNPCC家系筛查和遗传咨询技术，已经被国内外广泛应用于临床诊断、治疗和遗传咨询工作，并被国内多个指南和专家共识所推荐，已经在国内广泛使用。</w:t>
      </w:r>
    </w:p>
    <w:p w14:paraId="4FFCEAA7" w14:textId="77777777" w:rsidR="00BD455E" w:rsidRDefault="00BD455E" w:rsidP="00DB7DB4">
      <w:pPr>
        <w:ind w:firstLineChars="200" w:firstLine="420"/>
        <w:rPr>
          <w:rFonts w:ascii="宋体" w:hAnsi="宋体" w:cs="Arial"/>
          <w:szCs w:val="21"/>
        </w:rPr>
      </w:pPr>
      <w:r>
        <w:rPr>
          <w:rFonts w:ascii="宋体" w:hAnsi="宋体" w:cs="Arial" w:hint="eastAsia"/>
          <w:szCs w:val="21"/>
        </w:rPr>
        <w:t>（2）粪便DNA甲基化检测筛查结直肠癌研究：粪便DNA甲基化筛查结直肠癌诊断平台已经应用于临床筛查，2016 年在江苏省第二中医院进行了100人免费筛查活动；江阴市中医院、昆山第一人民医院、南京市中医院进行合作研究。</w:t>
      </w:r>
    </w:p>
    <w:p w14:paraId="34C2E7E7" w14:textId="77777777" w:rsidR="00BD455E" w:rsidRDefault="00BD455E" w:rsidP="00DB7DB4">
      <w:pPr>
        <w:ind w:firstLineChars="200" w:firstLine="420"/>
        <w:rPr>
          <w:rFonts w:ascii="宋体" w:hAnsi="宋体" w:cs="Arial"/>
          <w:szCs w:val="21"/>
        </w:rPr>
      </w:pPr>
      <w:r>
        <w:rPr>
          <w:rFonts w:ascii="宋体" w:hAnsi="宋体" w:cs="Arial" w:hint="eastAsia"/>
          <w:szCs w:val="21"/>
        </w:rPr>
        <w:t>（3）刻度活检钳和内镜下测量系统获得了中国 SFDA、美国FDA、欧盟认证，在国内广泛使用，已经进入上海市、北京市、河南省、南京市、苏州市、吐鲁番市等医保招标目录，在国内有上百家医院在推广使用；美国RUSH大学、韩国 Young大学医院也在进行试用。在江苏省第二中医院、江阴市中医院、南京市中医院等医院应用内镜下病变测量系统，用于结肠镜检查时对发现结直肠息肉大小进行测量，迄今已应用开展1700余例，为内镜下病变大小的准确测量和选择恰当的治疗措施提供了很好的方法，具有良好的临床和社会价值。</w:t>
      </w:r>
    </w:p>
    <w:p w14:paraId="34475D97" w14:textId="77777777" w:rsidR="00BD455E" w:rsidRDefault="00BD455E" w:rsidP="00DB7DB4">
      <w:pPr>
        <w:ind w:firstLineChars="200" w:firstLine="420"/>
        <w:rPr>
          <w:rFonts w:ascii="宋体" w:hAnsi="宋体" w:cs="Arial"/>
          <w:szCs w:val="21"/>
        </w:rPr>
      </w:pPr>
      <w:r>
        <w:rPr>
          <w:rFonts w:ascii="宋体" w:hAnsi="宋体" w:cs="Arial" w:hint="eastAsia"/>
          <w:szCs w:val="21"/>
        </w:rPr>
        <w:t xml:space="preserve">（4）本团队结合中医整体观和治未病理论，设计了荷叶黑茶、蓝莓黑洋葱汁和苦瓜饮，作为内生湿热证相关疾病防治研究的产品，配方已经申请发明专利，研制的荷叶黑茶已经获得了生产和销售许可，在国内已经广泛使用，而且在南京市中医院、江苏省第二中医院开展对照研究，也取得了良好的效果。蓝莓黑洋葱汁和苦瓜饮正在申请食品生产许可证，申请3项发明专利（申请号：CN201610724733.9、CN201610728752.9、CN201610726007.0）。 </w:t>
      </w:r>
    </w:p>
    <w:p w14:paraId="7530E800" w14:textId="30DE2713" w:rsidR="004014BA" w:rsidRDefault="00BD455E" w:rsidP="00DB7DB4">
      <w:pPr>
        <w:ind w:firstLineChars="200" w:firstLine="420"/>
      </w:pPr>
      <w:r>
        <w:rPr>
          <w:rFonts w:ascii="宋体" w:hAnsi="宋体" w:cs="Arial" w:hint="eastAsia"/>
          <w:szCs w:val="21"/>
        </w:rPr>
        <w:t>（5）本项目共发表文章</w:t>
      </w:r>
      <w:r>
        <w:rPr>
          <w:rFonts w:ascii="Times New Roman" w:cs="宋体" w:hint="eastAsia"/>
          <w:szCs w:val="21"/>
        </w:rPr>
        <w:t>87</w:t>
      </w:r>
      <w:r>
        <w:rPr>
          <w:rFonts w:ascii="Times New Roman" w:hAnsi="宋体" w:cs="宋体" w:hint="eastAsia"/>
          <w:szCs w:val="21"/>
        </w:rPr>
        <w:t>篇，</w:t>
      </w:r>
      <w:r>
        <w:rPr>
          <w:rFonts w:ascii="Times New Roman" w:hAnsi="宋体" w:cs="宋体" w:hint="eastAsia"/>
          <w:szCs w:val="21"/>
        </w:rPr>
        <w:t>2</w:t>
      </w:r>
      <w:r>
        <w:rPr>
          <w:rFonts w:ascii="Times New Roman" w:cs="宋体" w:hint="eastAsia"/>
          <w:szCs w:val="21"/>
        </w:rPr>
        <w:t>2</w:t>
      </w:r>
      <w:r>
        <w:rPr>
          <w:rFonts w:ascii="Times New Roman" w:hAnsi="宋体" w:cs="宋体" w:hint="eastAsia"/>
          <w:szCs w:val="21"/>
        </w:rPr>
        <w:t>篇英文文献为</w:t>
      </w:r>
      <w:r>
        <w:rPr>
          <w:rFonts w:ascii="Times New Roman" w:hAnsi="宋体" w:cs="宋体" w:hint="eastAsia"/>
          <w:szCs w:val="21"/>
        </w:rPr>
        <w:t>SCI</w:t>
      </w:r>
      <w:r>
        <w:rPr>
          <w:rFonts w:ascii="Times New Roman" w:hAnsi="宋体" w:cs="宋体" w:hint="eastAsia"/>
          <w:szCs w:val="21"/>
        </w:rPr>
        <w:t>收录，总影响因子（</w:t>
      </w:r>
      <w:r>
        <w:rPr>
          <w:rFonts w:ascii="Times New Roman" w:hAnsi="宋体" w:cs="宋体" w:hint="eastAsia"/>
          <w:szCs w:val="21"/>
        </w:rPr>
        <w:t>SCI-IF</w:t>
      </w:r>
      <w:r>
        <w:rPr>
          <w:rFonts w:ascii="Times New Roman" w:hAnsi="宋体" w:cs="宋体" w:hint="eastAsia"/>
          <w:szCs w:val="21"/>
        </w:rPr>
        <w:t>）为</w:t>
      </w:r>
      <w:r>
        <w:rPr>
          <w:rFonts w:ascii="Times New Roman" w:hAnsi="宋体" w:cs="宋体" w:hint="eastAsia"/>
          <w:szCs w:val="21"/>
        </w:rPr>
        <w:t>45.811</w:t>
      </w:r>
      <w:r>
        <w:rPr>
          <w:rFonts w:ascii="Times New Roman" w:hAnsi="宋体" w:cs="宋体" w:hint="eastAsia"/>
          <w:szCs w:val="21"/>
        </w:rPr>
        <w:t>，</w:t>
      </w:r>
      <w:r>
        <w:rPr>
          <w:rFonts w:ascii="Times New Roman" w:hAnsi="宋体" w:cs="宋体" w:hint="eastAsia"/>
          <w:szCs w:val="21"/>
        </w:rPr>
        <w:t>SCI</w:t>
      </w:r>
      <w:r>
        <w:rPr>
          <w:rFonts w:ascii="Times New Roman" w:hAnsi="宋体" w:cs="宋体" w:hint="eastAsia"/>
          <w:szCs w:val="21"/>
        </w:rPr>
        <w:t>总引用</w:t>
      </w:r>
      <w:r>
        <w:rPr>
          <w:rFonts w:ascii="Times New Roman" w:hAnsi="宋体" w:cs="宋体" w:hint="eastAsia"/>
          <w:szCs w:val="21"/>
        </w:rPr>
        <w:t>198</w:t>
      </w:r>
      <w:r>
        <w:rPr>
          <w:rFonts w:ascii="Times New Roman" w:hAnsi="宋体" w:cs="宋体" w:hint="eastAsia"/>
          <w:szCs w:val="21"/>
        </w:rPr>
        <w:t>次，其中他引</w:t>
      </w:r>
      <w:r>
        <w:rPr>
          <w:rFonts w:ascii="Times New Roman" w:hAnsi="宋体" w:cs="宋体" w:hint="eastAsia"/>
          <w:szCs w:val="21"/>
        </w:rPr>
        <w:t>181</w:t>
      </w:r>
      <w:r>
        <w:rPr>
          <w:rFonts w:ascii="Times New Roman" w:hAnsi="宋体" w:cs="宋体" w:hint="eastAsia"/>
          <w:szCs w:val="21"/>
        </w:rPr>
        <w:t>次；</w:t>
      </w:r>
      <w:r>
        <w:rPr>
          <w:rFonts w:ascii="Times New Roman" w:hAnsi="宋体" w:cs="宋体" w:hint="eastAsia"/>
          <w:szCs w:val="21"/>
        </w:rPr>
        <w:t>65</w:t>
      </w:r>
      <w:r>
        <w:rPr>
          <w:rFonts w:ascii="Times New Roman" w:hAnsi="宋体" w:cs="宋体" w:hint="eastAsia"/>
          <w:szCs w:val="21"/>
        </w:rPr>
        <w:t>篇中文总引用</w:t>
      </w:r>
      <w:r>
        <w:rPr>
          <w:rFonts w:ascii="Times New Roman" w:cs="宋体" w:hint="eastAsia"/>
          <w:szCs w:val="21"/>
        </w:rPr>
        <w:t>384</w:t>
      </w:r>
      <w:r>
        <w:rPr>
          <w:rFonts w:ascii="Times New Roman" w:hAnsi="宋体" w:cs="宋体" w:hint="eastAsia"/>
          <w:szCs w:val="21"/>
        </w:rPr>
        <w:t>次，其中他引</w:t>
      </w:r>
      <w:r>
        <w:rPr>
          <w:rFonts w:ascii="Times New Roman" w:hAnsi="宋体" w:cs="宋体" w:hint="eastAsia"/>
          <w:szCs w:val="21"/>
        </w:rPr>
        <w:t>353</w:t>
      </w:r>
      <w:r>
        <w:rPr>
          <w:rFonts w:ascii="Times New Roman" w:hAnsi="宋体" w:cs="宋体" w:hint="eastAsia"/>
          <w:szCs w:val="21"/>
        </w:rPr>
        <w:t>次</w:t>
      </w:r>
      <w:r>
        <w:rPr>
          <w:rFonts w:ascii="宋体" w:hAnsi="宋体" w:cs="Arial" w:hint="eastAsia"/>
          <w:szCs w:val="21"/>
        </w:rPr>
        <w:t>。</w:t>
      </w:r>
    </w:p>
    <w:sectPr w:rsidR="004014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6198F" w14:textId="77777777" w:rsidR="000A2C52" w:rsidRDefault="000A2C52" w:rsidP="00BD455E">
      <w:r>
        <w:separator/>
      </w:r>
    </w:p>
  </w:endnote>
  <w:endnote w:type="continuationSeparator" w:id="0">
    <w:p w14:paraId="2DD706AD" w14:textId="77777777" w:rsidR="000A2C52" w:rsidRDefault="000A2C52" w:rsidP="00BD4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00"/>
    <w:family w:val="modern"/>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081E9" w14:textId="77777777" w:rsidR="000A2C52" w:rsidRDefault="000A2C52" w:rsidP="00BD455E">
      <w:r>
        <w:separator/>
      </w:r>
    </w:p>
  </w:footnote>
  <w:footnote w:type="continuationSeparator" w:id="0">
    <w:p w14:paraId="0BA272E9" w14:textId="77777777" w:rsidR="000A2C52" w:rsidRDefault="000A2C52" w:rsidP="00BD45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BA"/>
    <w:rsid w:val="000A2C52"/>
    <w:rsid w:val="002931E0"/>
    <w:rsid w:val="003E1123"/>
    <w:rsid w:val="004014BA"/>
    <w:rsid w:val="00BD455E"/>
    <w:rsid w:val="00DB7DB4"/>
    <w:rsid w:val="00E64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DC6BD"/>
  <w15:chartTrackingRefBased/>
  <w15:docId w15:val="{0D4070A5-CE5E-4883-8161-577D3099F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55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455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D455E"/>
    <w:rPr>
      <w:sz w:val="18"/>
      <w:szCs w:val="18"/>
    </w:rPr>
  </w:style>
  <w:style w:type="paragraph" w:styleId="a5">
    <w:name w:val="footer"/>
    <w:basedOn w:val="a"/>
    <w:link w:val="a6"/>
    <w:uiPriority w:val="99"/>
    <w:unhideWhenUsed/>
    <w:rsid w:val="00BD455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D455E"/>
    <w:rPr>
      <w:sz w:val="18"/>
      <w:szCs w:val="18"/>
    </w:rPr>
  </w:style>
  <w:style w:type="paragraph" w:styleId="a7">
    <w:name w:val="Plain Text"/>
    <w:basedOn w:val="a"/>
    <w:link w:val="a8"/>
    <w:rsid w:val="00BD455E"/>
    <w:pPr>
      <w:spacing w:line="360" w:lineRule="auto"/>
      <w:ind w:firstLineChars="200" w:firstLine="480"/>
    </w:pPr>
    <w:rPr>
      <w:rFonts w:ascii="仿宋_GB2312"/>
      <w:sz w:val="24"/>
    </w:rPr>
  </w:style>
  <w:style w:type="character" w:customStyle="1" w:styleId="a8">
    <w:name w:val="纯文本 字符"/>
    <w:basedOn w:val="a0"/>
    <w:link w:val="a7"/>
    <w:rsid w:val="00BD455E"/>
    <w:rPr>
      <w:rFonts w:ascii="仿宋_GB2312" w:eastAsia="宋体"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2020-09-07T01:48:00Z</dcterms:created>
  <dcterms:modified xsi:type="dcterms:W3CDTF">2020-09-07T06:12:00Z</dcterms:modified>
</cp:coreProperties>
</file>